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B804C" w14:textId="77777777" w:rsidR="000E793D" w:rsidRDefault="000E793D">
      <w:pPr>
        <w:ind w:left="111"/>
        <w:rPr>
          <w:b/>
          <w:sz w:val="24"/>
        </w:rPr>
      </w:pPr>
      <w:r>
        <w:rPr>
          <w:rFonts w:ascii="Times New Roman"/>
          <w:noProof/>
          <w:sz w:val="20"/>
        </w:rPr>
        <w:drawing>
          <wp:inline distT="0" distB="0" distL="0" distR="0" wp14:anchorId="7CFA32D5" wp14:editId="257D1AAE">
            <wp:extent cx="2277394" cy="45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77394" cy="457390"/>
                    </a:xfrm>
                    <a:prstGeom prst="rect">
                      <a:avLst/>
                    </a:prstGeom>
                  </pic:spPr>
                </pic:pic>
              </a:graphicData>
            </a:graphic>
          </wp:inline>
        </w:drawing>
      </w:r>
    </w:p>
    <w:p w14:paraId="4A4765B6" w14:textId="77777777" w:rsidR="000E793D" w:rsidRDefault="000E793D">
      <w:pPr>
        <w:ind w:left="111"/>
        <w:rPr>
          <w:b/>
          <w:sz w:val="24"/>
        </w:rPr>
      </w:pPr>
    </w:p>
    <w:p w14:paraId="32EA44D4" w14:textId="5ED5C730" w:rsidR="00E55774" w:rsidRDefault="00E55774">
      <w:pPr>
        <w:ind w:left="111"/>
        <w:rPr>
          <w:b/>
          <w:sz w:val="24"/>
        </w:rPr>
      </w:pPr>
      <w:r>
        <w:rPr>
          <w:b/>
          <w:sz w:val="24"/>
        </w:rPr>
        <w:t xml:space="preserve">Timeline for Promotion of Non-Tenure Track Faculty </w:t>
      </w:r>
    </w:p>
    <w:p w14:paraId="605F49B6" w14:textId="735FA7C7" w:rsidR="002122E7" w:rsidRDefault="00A824F8">
      <w:pPr>
        <w:ind w:left="111"/>
        <w:rPr>
          <w:b/>
          <w:sz w:val="24"/>
        </w:rPr>
      </w:pPr>
      <w:r>
        <w:rPr>
          <w:b/>
          <w:sz w:val="24"/>
        </w:rPr>
        <w:t>202</w:t>
      </w:r>
      <w:r w:rsidR="0018209E">
        <w:rPr>
          <w:b/>
          <w:sz w:val="24"/>
        </w:rPr>
        <w:t>6</w:t>
      </w:r>
      <w:r w:rsidR="0098623C">
        <w:rPr>
          <w:b/>
          <w:sz w:val="24"/>
        </w:rPr>
        <w:t xml:space="preserve"> - 27</w:t>
      </w:r>
    </w:p>
    <w:p w14:paraId="429BBD02" w14:textId="77777777" w:rsidR="002122E7" w:rsidRDefault="002122E7">
      <w:pPr>
        <w:pStyle w:val="BodyText"/>
        <w:spacing w:before="5"/>
        <w:rPr>
          <w:b/>
        </w:rPr>
      </w:pPr>
    </w:p>
    <w:p w14:paraId="4C15C653" w14:textId="1296B6A1" w:rsidR="00AB29B4" w:rsidRDefault="00E55774" w:rsidP="00AB29B4">
      <w:pPr>
        <w:pStyle w:val="BodyText"/>
        <w:ind w:left="127" w:right="580"/>
      </w:pPr>
      <w:r>
        <w:t>Non-Tenure Track faculty members are eligible to apply for promotion in the spring of their</w:t>
      </w:r>
      <w:r w:rsidR="003D7B88">
        <w:t xml:space="preserve"> fifth </w:t>
      </w:r>
      <w:r>
        <w:t>year in rank. Major events related to promotion review procedures are included in this timeline below</w:t>
      </w:r>
      <w:r w:rsidR="009D7C6B">
        <w:t>.</w:t>
      </w:r>
      <w:r w:rsidR="00AB29B4" w:rsidRPr="00AB29B4">
        <w:t xml:space="preserve"> </w:t>
      </w:r>
      <w:r w:rsidR="00AB29B4">
        <w:t>Because the Response Option</w:t>
      </w:r>
      <w:r w:rsidR="00C244B2">
        <w:t>s</w:t>
      </w:r>
      <w:r w:rsidR="00AB29B4">
        <w:t xml:space="preserve"> available to all candidates affects the due dates, unit heads are advised to consult promotion guidelines for additional details about procedures and, if necessary, stipulate an individualized schedule that allows adequate time for </w:t>
      </w:r>
      <w:r w:rsidR="003336FC">
        <w:t>c</w:t>
      </w:r>
      <w:r w:rsidR="00AB29B4">
        <w:t>andidates’ Response Options, should the stated timeline prove inappropriate. At any time, those responsible for meeting the timeline may submit materials before the given date.</w:t>
      </w:r>
    </w:p>
    <w:p w14:paraId="2CE7B924" w14:textId="77777777" w:rsidR="002122E7" w:rsidRDefault="002122E7">
      <w:pPr>
        <w:pStyle w:val="BodyText"/>
        <w:spacing w:before="9"/>
      </w:pPr>
    </w:p>
    <w:p w14:paraId="50B66D9F" w14:textId="23389CED" w:rsidR="002122E7" w:rsidRDefault="00E55774">
      <w:pPr>
        <w:pStyle w:val="BodyText"/>
        <w:ind w:left="127"/>
      </w:pPr>
      <w:r>
        <w:t xml:space="preserve">Candidates </w:t>
      </w:r>
      <w:r w:rsidR="00AB29B4">
        <w:t xml:space="preserve">are </w:t>
      </w:r>
      <w:r w:rsidR="009D7C6B">
        <w:t>expected</w:t>
      </w:r>
      <w:r>
        <w:t xml:space="preserve"> to attend</w:t>
      </w:r>
      <w:r w:rsidR="00D87071">
        <w:t xml:space="preserve"> the informational briefing for </w:t>
      </w:r>
      <w:r>
        <w:t xml:space="preserve">NTT promotion </w:t>
      </w:r>
      <w:r w:rsidR="00D87071">
        <w:t xml:space="preserve">candidates </w:t>
      </w:r>
      <w:r>
        <w:t xml:space="preserve">offered by </w:t>
      </w:r>
      <w:r w:rsidR="003D7B88">
        <w:t>Academic Affairs</w:t>
      </w:r>
      <w:r w:rsidR="009B4DE5">
        <w:t>.</w:t>
      </w:r>
    </w:p>
    <w:p w14:paraId="4CE45092" w14:textId="77777777" w:rsidR="002122E7" w:rsidRDefault="002122E7">
      <w:pPr>
        <w:pStyle w:val="BodyText"/>
        <w:spacing w:before="2"/>
        <w:rPr>
          <w:sz w:val="24"/>
        </w:rPr>
      </w:pPr>
    </w:p>
    <w:tbl>
      <w:tblPr>
        <w:tblW w:w="102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3"/>
        <w:gridCol w:w="6930"/>
      </w:tblGrid>
      <w:tr w:rsidR="00E4510E" w14:paraId="66E5C22E" w14:textId="77777777" w:rsidTr="67D9F37D">
        <w:trPr>
          <w:trHeight w:val="349"/>
        </w:trPr>
        <w:tc>
          <w:tcPr>
            <w:tcW w:w="3273" w:type="dxa"/>
          </w:tcPr>
          <w:p w14:paraId="043ED757" w14:textId="7D1A2BF4" w:rsidR="00E4510E" w:rsidRPr="00E4510E" w:rsidRDefault="00E4510E" w:rsidP="006B240C">
            <w:pPr>
              <w:pStyle w:val="TableParagraph"/>
              <w:rPr>
                <w:b/>
                <w:bCs/>
              </w:rPr>
            </w:pPr>
            <w:r w:rsidRPr="00E4510E">
              <w:rPr>
                <w:b/>
                <w:bCs/>
              </w:rPr>
              <w:t xml:space="preserve">No Later Than </w:t>
            </w:r>
          </w:p>
        </w:tc>
        <w:tc>
          <w:tcPr>
            <w:tcW w:w="6930" w:type="dxa"/>
          </w:tcPr>
          <w:p w14:paraId="79D7CD23" w14:textId="671BB185" w:rsidR="00E4510E" w:rsidRPr="00E4510E" w:rsidRDefault="00E4510E" w:rsidP="00E05843">
            <w:pPr>
              <w:pStyle w:val="TableParagraph"/>
              <w:ind w:right="1022"/>
              <w:rPr>
                <w:b/>
                <w:bCs/>
              </w:rPr>
            </w:pPr>
            <w:r w:rsidRPr="00E4510E">
              <w:rPr>
                <w:b/>
                <w:bCs/>
              </w:rPr>
              <w:t>Activity</w:t>
            </w:r>
          </w:p>
        </w:tc>
      </w:tr>
      <w:tr w:rsidR="002122E7" w14:paraId="5BF043A8" w14:textId="77777777" w:rsidTr="67D9F37D">
        <w:trPr>
          <w:trHeight w:val="642"/>
        </w:trPr>
        <w:tc>
          <w:tcPr>
            <w:tcW w:w="3273" w:type="dxa"/>
          </w:tcPr>
          <w:p w14:paraId="4E30867E" w14:textId="4BD8C228" w:rsidR="002122E7" w:rsidRDefault="004436E0" w:rsidP="006B240C">
            <w:pPr>
              <w:pStyle w:val="TableParagraph"/>
            </w:pPr>
            <w:r>
              <w:t>Monday</w:t>
            </w:r>
            <w:r w:rsidR="006B240C">
              <w:t xml:space="preserve">, </w:t>
            </w:r>
            <w:r w:rsidR="009A2DED">
              <w:t>April</w:t>
            </w:r>
            <w:r w:rsidR="00314F85">
              <w:t xml:space="preserve"> </w:t>
            </w:r>
            <w:r w:rsidR="006B55AF">
              <w:t>6</w:t>
            </w:r>
            <w:r w:rsidR="001154EE">
              <w:t>,</w:t>
            </w:r>
            <w:r w:rsidR="00536897">
              <w:t xml:space="preserve"> </w:t>
            </w:r>
            <w:proofErr w:type="gramStart"/>
            <w:r w:rsidR="00536897">
              <w:t>2026</w:t>
            </w:r>
            <w:proofErr w:type="gramEnd"/>
            <w:r w:rsidR="00536897">
              <w:t xml:space="preserve"> </w:t>
            </w:r>
          </w:p>
        </w:tc>
        <w:tc>
          <w:tcPr>
            <w:tcW w:w="6930" w:type="dxa"/>
          </w:tcPr>
          <w:p w14:paraId="36A4662B" w14:textId="14678365" w:rsidR="002122E7" w:rsidRDefault="0087227E" w:rsidP="00E05843">
            <w:pPr>
              <w:pStyle w:val="TableParagraph"/>
              <w:ind w:right="1022"/>
            </w:pPr>
            <w:r>
              <w:t xml:space="preserve">If not already </w:t>
            </w:r>
            <w:r w:rsidR="00753661">
              <w:t>done</w:t>
            </w:r>
            <w:r>
              <w:t xml:space="preserve"> as part of</w:t>
            </w:r>
            <w:r w:rsidR="0053453D">
              <w:t xml:space="preserve"> the unit’s</w:t>
            </w:r>
            <w:r>
              <w:t xml:space="preserve"> regular progress toward promotion review</w:t>
            </w:r>
            <w:r w:rsidR="003D0162">
              <w:t>, t</w:t>
            </w:r>
            <w:r w:rsidR="006B0595">
              <w:t>he</w:t>
            </w:r>
            <w:r w:rsidR="004B5CBA">
              <w:t xml:space="preserve"> c</w:t>
            </w:r>
            <w:r w:rsidR="00E55774">
              <w:t>andidate submits to the</w:t>
            </w:r>
            <w:r w:rsidR="00464130">
              <w:t xml:space="preserve">ir Promotion Review </w:t>
            </w:r>
            <w:r w:rsidR="004B5CBA">
              <w:t xml:space="preserve">Committee </w:t>
            </w:r>
            <w:r w:rsidR="00E55774">
              <w:t xml:space="preserve">a request in writing </w:t>
            </w:r>
            <w:r w:rsidR="00BF35A8">
              <w:t xml:space="preserve">with a detailed </w:t>
            </w:r>
            <w:r w:rsidR="00B209D0">
              <w:t xml:space="preserve">record of accomplishments </w:t>
            </w:r>
            <w:r w:rsidR="00E55774">
              <w:t>for a formal review for promotion</w:t>
            </w:r>
            <w:r w:rsidR="004B5CBA">
              <w:t xml:space="preserve">. </w:t>
            </w:r>
          </w:p>
        </w:tc>
      </w:tr>
      <w:tr w:rsidR="002122E7" w14:paraId="08B337D3" w14:textId="77777777" w:rsidTr="67D9F37D">
        <w:trPr>
          <w:trHeight w:val="891"/>
        </w:trPr>
        <w:tc>
          <w:tcPr>
            <w:tcW w:w="3273" w:type="dxa"/>
          </w:tcPr>
          <w:p w14:paraId="547701A8" w14:textId="5232A56C" w:rsidR="002122E7" w:rsidRDefault="005B25A9" w:rsidP="00464130">
            <w:pPr>
              <w:pStyle w:val="TableParagraph"/>
            </w:pPr>
            <w:r>
              <w:t xml:space="preserve">Friday, </w:t>
            </w:r>
            <w:r w:rsidR="00464130">
              <w:t xml:space="preserve">April </w:t>
            </w:r>
            <w:r w:rsidR="00F50280">
              <w:t>17</w:t>
            </w:r>
            <w:r w:rsidR="00464130">
              <w:t xml:space="preserve"> </w:t>
            </w:r>
          </w:p>
        </w:tc>
        <w:tc>
          <w:tcPr>
            <w:tcW w:w="6930" w:type="dxa"/>
          </w:tcPr>
          <w:p w14:paraId="74876178" w14:textId="38A14FFC" w:rsidR="002122E7" w:rsidRPr="006E7BC0" w:rsidRDefault="00464130" w:rsidP="00464130">
            <w:pPr>
              <w:pStyle w:val="TableParagraph"/>
              <w:ind w:right="668"/>
            </w:pPr>
            <w:r w:rsidRPr="006E7BC0">
              <w:t xml:space="preserve">The Unit Promotion Review Committee provides a recommendation of </w:t>
            </w:r>
            <w:r w:rsidR="00633D20" w:rsidRPr="006E7BC0">
              <w:t>whether</w:t>
            </w:r>
            <w:r w:rsidRPr="006E7BC0">
              <w:t xml:space="preserve"> t</w:t>
            </w:r>
            <w:r w:rsidR="00BB2C26" w:rsidRPr="006E7BC0">
              <w:t>o move forward with the request to be considered for promotion.</w:t>
            </w:r>
            <w:r w:rsidR="00BE4993" w:rsidRPr="006E7BC0">
              <w:t xml:space="preserve"> Committees may also suggest that a faculty member </w:t>
            </w:r>
            <w:r w:rsidR="00E07AC2">
              <w:t>go up for promotion</w:t>
            </w:r>
            <w:r w:rsidR="0098315D" w:rsidRPr="006E7BC0">
              <w:t xml:space="preserve"> i</w:t>
            </w:r>
            <w:r w:rsidR="007865D2" w:rsidRPr="006E7BC0">
              <w:t xml:space="preserve">f they find </w:t>
            </w:r>
            <w:r w:rsidR="00E867CB" w:rsidRPr="006E7BC0">
              <w:t xml:space="preserve">the faculty member has </w:t>
            </w:r>
            <w:r w:rsidR="007865D2" w:rsidRPr="006E7BC0">
              <w:t xml:space="preserve">met the unit’s </w:t>
            </w:r>
            <w:r w:rsidR="00E867CB" w:rsidRPr="006E7BC0">
              <w:t xml:space="preserve">promotion </w:t>
            </w:r>
            <w:r w:rsidR="007865D2" w:rsidRPr="006E7BC0">
              <w:t>criteria</w:t>
            </w:r>
            <w:r w:rsidR="007A527F">
              <w:t xml:space="preserve"> during the</w:t>
            </w:r>
            <w:r w:rsidR="00AD46E8">
              <w:t xml:space="preserve"> annual review process.</w:t>
            </w:r>
          </w:p>
        </w:tc>
      </w:tr>
      <w:tr w:rsidR="0018209E" w14:paraId="25BE987E" w14:textId="77777777" w:rsidTr="00081568">
        <w:trPr>
          <w:trHeight w:val="331"/>
        </w:trPr>
        <w:tc>
          <w:tcPr>
            <w:tcW w:w="3273" w:type="dxa"/>
            <w:shd w:val="clear" w:color="auto" w:fill="auto"/>
          </w:tcPr>
          <w:p w14:paraId="3D5D83EE" w14:textId="568A9AEC" w:rsidR="0018209E" w:rsidRPr="00081568" w:rsidRDefault="0018209E" w:rsidP="00464130">
            <w:pPr>
              <w:pStyle w:val="TableParagraph"/>
            </w:pPr>
            <w:r w:rsidRPr="00081568">
              <w:t>Friday, April 2</w:t>
            </w:r>
            <w:r w:rsidR="000B3028" w:rsidRPr="00081568">
              <w:t>4</w:t>
            </w:r>
          </w:p>
          <w:p w14:paraId="3952DB4D" w14:textId="6F2FC9DD" w:rsidR="002113CD" w:rsidRPr="00081568" w:rsidRDefault="00BD7D48" w:rsidP="00464130">
            <w:pPr>
              <w:pStyle w:val="TableParagraph"/>
            </w:pPr>
            <w:r w:rsidRPr="00081568">
              <w:t>9:</w:t>
            </w:r>
            <w:r w:rsidR="005F783B">
              <w:t>0</w:t>
            </w:r>
            <w:r w:rsidRPr="00081568">
              <w:t>0 – 1</w:t>
            </w:r>
            <w:r w:rsidR="00756E21">
              <w:t>1</w:t>
            </w:r>
            <w:r w:rsidRPr="00081568">
              <w:t>:</w:t>
            </w:r>
            <w:r w:rsidR="00267AB7">
              <w:t>3</w:t>
            </w:r>
            <w:r w:rsidR="00756E21">
              <w:t>0</w:t>
            </w:r>
            <w:r w:rsidRPr="00081568">
              <w:t xml:space="preserve"> am </w:t>
            </w:r>
          </w:p>
        </w:tc>
        <w:tc>
          <w:tcPr>
            <w:tcW w:w="6930" w:type="dxa"/>
            <w:shd w:val="clear" w:color="auto" w:fill="auto"/>
          </w:tcPr>
          <w:p w14:paraId="3AB3FB5B" w14:textId="79120FB2" w:rsidR="0018209E" w:rsidRPr="00081568" w:rsidRDefault="002113CD" w:rsidP="00464130">
            <w:pPr>
              <w:pStyle w:val="TableParagraph"/>
              <w:ind w:right="668"/>
            </w:pPr>
            <w:r w:rsidRPr="00081568">
              <w:rPr>
                <w:color w:val="000000"/>
              </w:rPr>
              <w:t xml:space="preserve">Informational Briefing for </w:t>
            </w:r>
            <w:r w:rsidR="008D1B12">
              <w:rPr>
                <w:color w:val="000000"/>
              </w:rPr>
              <w:t xml:space="preserve">prospective </w:t>
            </w:r>
            <w:r w:rsidRPr="00081568">
              <w:rPr>
                <w:color w:val="000000"/>
              </w:rPr>
              <w:t xml:space="preserve">NTT Promotion </w:t>
            </w:r>
            <w:r w:rsidR="00BD7D48" w:rsidRPr="00081568">
              <w:rPr>
                <w:color w:val="000000"/>
              </w:rPr>
              <w:t>c</w:t>
            </w:r>
            <w:r w:rsidRPr="00081568">
              <w:rPr>
                <w:color w:val="000000"/>
              </w:rPr>
              <w:t xml:space="preserve">andidates </w:t>
            </w:r>
            <w:r w:rsidR="00BD7D48" w:rsidRPr="00081568">
              <w:rPr>
                <w:color w:val="000000"/>
              </w:rPr>
              <w:t xml:space="preserve">going up during the </w:t>
            </w:r>
            <w:r w:rsidRPr="00081568">
              <w:rPr>
                <w:color w:val="000000"/>
              </w:rPr>
              <w:t>202</w:t>
            </w:r>
            <w:r w:rsidR="004315F9" w:rsidRPr="00081568">
              <w:rPr>
                <w:color w:val="000000"/>
              </w:rPr>
              <w:t>6</w:t>
            </w:r>
            <w:r w:rsidRPr="00081568">
              <w:rPr>
                <w:color w:val="000000"/>
              </w:rPr>
              <w:t>-2</w:t>
            </w:r>
            <w:r w:rsidR="004315F9" w:rsidRPr="00081568">
              <w:rPr>
                <w:color w:val="000000"/>
              </w:rPr>
              <w:t>7</w:t>
            </w:r>
            <w:r w:rsidRPr="00081568">
              <w:rPr>
                <w:color w:val="000000"/>
              </w:rPr>
              <w:t xml:space="preserve"> cycle </w:t>
            </w:r>
          </w:p>
        </w:tc>
      </w:tr>
      <w:tr w:rsidR="00894F88" w14:paraId="17DD78BC" w14:textId="77777777" w:rsidTr="67D9F37D">
        <w:trPr>
          <w:trHeight w:val="362"/>
        </w:trPr>
        <w:tc>
          <w:tcPr>
            <w:tcW w:w="3273" w:type="dxa"/>
          </w:tcPr>
          <w:p w14:paraId="5E715D9C" w14:textId="7DF1C7D0" w:rsidR="00894F88" w:rsidRDefault="004751BF" w:rsidP="00874CD8">
            <w:pPr>
              <w:pStyle w:val="TableParagraph"/>
            </w:pPr>
            <w:r>
              <w:t>Friday</w:t>
            </w:r>
            <w:r w:rsidR="005B25A9">
              <w:t xml:space="preserve">, </w:t>
            </w:r>
            <w:r w:rsidR="00894F88">
              <w:t xml:space="preserve">May </w:t>
            </w:r>
            <w:r w:rsidR="003C5459">
              <w:t>8</w:t>
            </w:r>
          </w:p>
        </w:tc>
        <w:tc>
          <w:tcPr>
            <w:tcW w:w="6930" w:type="dxa"/>
          </w:tcPr>
          <w:p w14:paraId="3E212035" w14:textId="3FC95928" w:rsidR="00894F88" w:rsidRPr="00EF6BD3" w:rsidRDefault="005B25A9" w:rsidP="00E05843">
            <w:pPr>
              <w:pStyle w:val="TableParagraph"/>
            </w:pPr>
            <w:r w:rsidRPr="00EF6BD3">
              <w:t xml:space="preserve">If candidate </w:t>
            </w:r>
            <w:r w:rsidR="00874CD8" w:rsidRPr="00EF6BD3">
              <w:t xml:space="preserve">decides </w:t>
            </w:r>
            <w:r w:rsidRPr="00EF6BD3">
              <w:t xml:space="preserve">to move forward, </w:t>
            </w:r>
            <w:r w:rsidR="00BB2C26">
              <w:t xml:space="preserve">the </w:t>
            </w:r>
            <w:r w:rsidR="00BB2C26" w:rsidRPr="00BB2C26">
              <w:rPr>
                <w:i/>
              </w:rPr>
              <w:t xml:space="preserve">Ad </w:t>
            </w:r>
            <w:proofErr w:type="spellStart"/>
            <w:r w:rsidR="00BB2C26" w:rsidRPr="00BB2C26">
              <w:rPr>
                <w:i/>
              </w:rPr>
              <w:t>Personam</w:t>
            </w:r>
            <w:proofErr w:type="spellEnd"/>
            <w:r w:rsidR="00BB2C26">
              <w:t xml:space="preserve"> Committee is appointed. </w:t>
            </w:r>
            <w:r w:rsidR="00EF6BD3" w:rsidRPr="00EF6BD3">
              <w:t xml:space="preserve">The </w:t>
            </w:r>
            <w:r w:rsidR="00586397" w:rsidRPr="00EF6BD3">
              <w:rPr>
                <w:i/>
              </w:rPr>
              <w:t xml:space="preserve">Ad </w:t>
            </w:r>
            <w:proofErr w:type="spellStart"/>
            <w:r w:rsidR="00586397" w:rsidRPr="00EF6BD3">
              <w:rPr>
                <w:i/>
              </w:rPr>
              <w:t>Personam</w:t>
            </w:r>
            <w:proofErr w:type="spellEnd"/>
            <w:r w:rsidR="00586397" w:rsidRPr="00EF6BD3">
              <w:t xml:space="preserve"> Committee </w:t>
            </w:r>
            <w:r w:rsidR="00EC265B" w:rsidRPr="00EF6BD3">
              <w:t>provide</w:t>
            </w:r>
            <w:r w:rsidR="00BB2C26">
              <w:t>s</w:t>
            </w:r>
            <w:r w:rsidR="00EC265B" w:rsidRPr="00EF6BD3">
              <w:t xml:space="preserve"> candidate</w:t>
            </w:r>
            <w:r w:rsidR="00877772">
              <w:t>s</w:t>
            </w:r>
            <w:r w:rsidR="00EC265B" w:rsidRPr="00EF6BD3">
              <w:t xml:space="preserve"> with a list of materials the</w:t>
            </w:r>
            <w:r w:rsidR="008D0515">
              <w:t xml:space="preserve"> candidate</w:t>
            </w:r>
            <w:r w:rsidR="00EC265B" w:rsidRPr="00EF6BD3">
              <w:t xml:space="preserve"> should submit t</w:t>
            </w:r>
            <w:r w:rsidR="008D0515">
              <w:t xml:space="preserve">o allow the committee </w:t>
            </w:r>
            <w:r w:rsidR="00C244B2">
              <w:t xml:space="preserve">to </w:t>
            </w:r>
            <w:r w:rsidR="008D0515">
              <w:t>complete its</w:t>
            </w:r>
            <w:r w:rsidR="00EC265B" w:rsidRPr="00EF6BD3">
              <w:t xml:space="preserve"> report (e.g., list of service evaluators or former students</w:t>
            </w:r>
            <w:r w:rsidR="00E05843">
              <w:t xml:space="preserve"> to contact</w:t>
            </w:r>
            <w:r w:rsidR="00EC265B" w:rsidRPr="00EF6BD3">
              <w:t>) and a deadline by which the materials should be submitted</w:t>
            </w:r>
            <w:r w:rsidR="00EF6BD3" w:rsidRPr="00EF6BD3">
              <w:t xml:space="preserve">. </w:t>
            </w:r>
            <w:r w:rsidR="00EC265B" w:rsidRPr="00EF6BD3">
              <w:t xml:space="preserve">Candidate begins work to refine the factual record. </w:t>
            </w:r>
          </w:p>
        </w:tc>
      </w:tr>
      <w:tr w:rsidR="00031320" w14:paraId="30AD29BD" w14:textId="77777777" w:rsidTr="00031320">
        <w:trPr>
          <w:trHeight w:val="225"/>
        </w:trPr>
        <w:tc>
          <w:tcPr>
            <w:tcW w:w="3273" w:type="dxa"/>
          </w:tcPr>
          <w:p w14:paraId="2AC9D8AC" w14:textId="50091824" w:rsidR="00031320" w:rsidRDefault="00031320" w:rsidP="0084382B">
            <w:pPr>
              <w:pStyle w:val="TableParagraph"/>
              <w:jc w:val="center"/>
            </w:pPr>
          </w:p>
        </w:tc>
        <w:tc>
          <w:tcPr>
            <w:tcW w:w="6930" w:type="dxa"/>
          </w:tcPr>
          <w:p w14:paraId="5E7B064A" w14:textId="07F00AC7" w:rsidR="00031320" w:rsidRDefault="00031320" w:rsidP="0084382B">
            <w:pPr>
              <w:pStyle w:val="TableParagraph"/>
              <w:jc w:val="center"/>
            </w:pPr>
            <w:r>
              <w:t>Summer Break</w:t>
            </w:r>
          </w:p>
        </w:tc>
      </w:tr>
      <w:tr w:rsidR="00894F88" w14:paraId="17888274" w14:textId="77777777" w:rsidTr="67D9F37D">
        <w:trPr>
          <w:trHeight w:val="639"/>
        </w:trPr>
        <w:tc>
          <w:tcPr>
            <w:tcW w:w="3273" w:type="dxa"/>
          </w:tcPr>
          <w:p w14:paraId="4FB5A2D1" w14:textId="60C3D277" w:rsidR="00894F88" w:rsidRPr="00E04B89" w:rsidRDefault="00586397" w:rsidP="00586397">
            <w:pPr>
              <w:pStyle w:val="TableParagraph"/>
              <w:spacing w:before="0"/>
            </w:pPr>
            <w:r w:rsidRPr="00E04B89">
              <w:t>Monday</w:t>
            </w:r>
            <w:r w:rsidR="00874CD8" w:rsidRPr="00E04B89">
              <w:t xml:space="preserve">, </w:t>
            </w:r>
            <w:r w:rsidRPr="00E04B89">
              <w:t>August 2</w:t>
            </w:r>
            <w:r w:rsidR="002C1A30">
              <w:t>4</w:t>
            </w:r>
          </w:p>
        </w:tc>
        <w:tc>
          <w:tcPr>
            <w:tcW w:w="6930" w:type="dxa"/>
          </w:tcPr>
          <w:p w14:paraId="063417FA" w14:textId="52B32E0B" w:rsidR="00894F88" w:rsidRDefault="00894F88" w:rsidP="00B0232B">
            <w:pPr>
              <w:pStyle w:val="TableParagraph"/>
              <w:ind w:right="127"/>
            </w:pPr>
            <w:r>
              <w:t xml:space="preserve">Candidate submits draft of factual record to </w:t>
            </w:r>
            <w:r>
              <w:rPr>
                <w:i/>
              </w:rPr>
              <w:t xml:space="preserve">Ad </w:t>
            </w:r>
            <w:proofErr w:type="spellStart"/>
            <w:r>
              <w:rPr>
                <w:i/>
              </w:rPr>
              <w:t>Personam</w:t>
            </w:r>
            <w:proofErr w:type="spellEnd"/>
            <w:r>
              <w:rPr>
                <w:i/>
              </w:rPr>
              <w:t xml:space="preserve"> </w:t>
            </w:r>
            <w:r w:rsidR="00B0232B">
              <w:t xml:space="preserve">Committee </w:t>
            </w:r>
            <w:r>
              <w:t>to review against Unit and College Guidelines and to recommend revisions.</w:t>
            </w:r>
          </w:p>
        </w:tc>
      </w:tr>
      <w:tr w:rsidR="00894F88" w14:paraId="616EB046" w14:textId="77777777" w:rsidTr="67D9F37D">
        <w:trPr>
          <w:trHeight w:val="333"/>
        </w:trPr>
        <w:tc>
          <w:tcPr>
            <w:tcW w:w="3273" w:type="dxa"/>
          </w:tcPr>
          <w:p w14:paraId="6EBACA9B" w14:textId="39F12DE3" w:rsidR="00894F88" w:rsidRPr="00E04B89" w:rsidRDefault="004E199B">
            <w:pPr>
              <w:pStyle w:val="TableParagraph"/>
            </w:pPr>
            <w:r>
              <w:t>Wednesday</w:t>
            </w:r>
            <w:r w:rsidR="00D938DF" w:rsidRPr="00E04B89">
              <w:t xml:space="preserve">, </w:t>
            </w:r>
            <w:r w:rsidR="00894F88" w:rsidRPr="00E04B89">
              <w:t xml:space="preserve">September </w:t>
            </w:r>
            <w:r w:rsidR="008652C4">
              <w:t>2</w:t>
            </w:r>
          </w:p>
        </w:tc>
        <w:tc>
          <w:tcPr>
            <w:tcW w:w="6930" w:type="dxa"/>
          </w:tcPr>
          <w:p w14:paraId="0EFB801E" w14:textId="3864ADE6" w:rsidR="00894F88" w:rsidRDefault="00894F88">
            <w:pPr>
              <w:pStyle w:val="TableParagraph"/>
              <w:ind w:right="349"/>
            </w:pPr>
            <w:r>
              <w:t>Chair notifies Dean of all NTT promotion cases</w:t>
            </w:r>
            <w:r w:rsidR="00C244B2">
              <w:t>.</w:t>
            </w:r>
          </w:p>
        </w:tc>
      </w:tr>
      <w:tr w:rsidR="00894F88" w14:paraId="1D92BCEF" w14:textId="77777777" w:rsidTr="67D9F37D">
        <w:trPr>
          <w:trHeight w:val="342"/>
        </w:trPr>
        <w:tc>
          <w:tcPr>
            <w:tcW w:w="3273" w:type="dxa"/>
          </w:tcPr>
          <w:p w14:paraId="7D63A7CE" w14:textId="47F40E57" w:rsidR="00894F88" w:rsidRPr="00E20C92" w:rsidRDefault="00594178">
            <w:pPr>
              <w:pStyle w:val="TableParagraph"/>
              <w:rPr>
                <w:b/>
                <w:bCs/>
              </w:rPr>
            </w:pPr>
            <w:r>
              <w:rPr>
                <w:b/>
                <w:bCs/>
              </w:rPr>
              <w:t>Tuesday</w:t>
            </w:r>
            <w:r w:rsidR="00125C47" w:rsidRPr="00E20C92">
              <w:rPr>
                <w:b/>
                <w:bCs/>
              </w:rPr>
              <w:t xml:space="preserve">, </w:t>
            </w:r>
            <w:r w:rsidR="00894F88" w:rsidRPr="00E20C92">
              <w:rPr>
                <w:b/>
                <w:bCs/>
              </w:rPr>
              <w:t xml:space="preserve">September </w:t>
            </w:r>
            <w:r>
              <w:rPr>
                <w:b/>
                <w:bCs/>
              </w:rPr>
              <w:t>8</w:t>
            </w:r>
          </w:p>
        </w:tc>
        <w:tc>
          <w:tcPr>
            <w:tcW w:w="6930" w:type="dxa"/>
          </w:tcPr>
          <w:p w14:paraId="732996FF" w14:textId="4A19AF54" w:rsidR="00894F88" w:rsidRPr="00E20C92" w:rsidRDefault="00894F88">
            <w:pPr>
              <w:pStyle w:val="TableParagraph"/>
              <w:ind w:right="349"/>
              <w:rPr>
                <w:b/>
                <w:bCs/>
              </w:rPr>
            </w:pPr>
            <w:r w:rsidRPr="67D9F37D">
              <w:rPr>
                <w:b/>
                <w:bCs/>
              </w:rPr>
              <w:t>Dean submits to Provost a list of all NTT promotion cases</w:t>
            </w:r>
            <w:r w:rsidR="00C244B2" w:rsidRPr="67D9F37D">
              <w:rPr>
                <w:b/>
                <w:bCs/>
              </w:rPr>
              <w:t>.</w:t>
            </w:r>
          </w:p>
        </w:tc>
      </w:tr>
      <w:tr w:rsidR="00894F88" w14:paraId="7AFFFB96" w14:textId="77777777" w:rsidTr="67D9F37D">
        <w:trPr>
          <w:trHeight w:val="642"/>
        </w:trPr>
        <w:tc>
          <w:tcPr>
            <w:tcW w:w="3273" w:type="dxa"/>
          </w:tcPr>
          <w:p w14:paraId="2166DFE3" w14:textId="4D7F57F2" w:rsidR="00894F88" w:rsidRPr="00E04B89" w:rsidRDefault="00337F22" w:rsidP="00CD2703">
            <w:pPr>
              <w:pStyle w:val="TableParagraph"/>
              <w:spacing w:before="40"/>
            </w:pPr>
            <w:r w:rsidRPr="00E04B89">
              <w:t>Friday</w:t>
            </w:r>
            <w:r w:rsidR="00F01C6C" w:rsidRPr="00E04B89">
              <w:t>,</w:t>
            </w:r>
            <w:r w:rsidRPr="00E04B89">
              <w:t xml:space="preserve"> October</w:t>
            </w:r>
            <w:r w:rsidR="00CD2703" w:rsidRPr="00E04B89">
              <w:t xml:space="preserve"> </w:t>
            </w:r>
            <w:r w:rsidR="00712D71">
              <w:t>9</w:t>
            </w:r>
          </w:p>
        </w:tc>
        <w:tc>
          <w:tcPr>
            <w:tcW w:w="6930" w:type="dxa"/>
          </w:tcPr>
          <w:p w14:paraId="75F83DB3" w14:textId="1F69243C" w:rsidR="00894F88" w:rsidRDefault="00894F88">
            <w:pPr>
              <w:pStyle w:val="TableParagraph"/>
              <w:spacing w:before="54"/>
              <w:rPr>
                <w:i/>
              </w:rPr>
            </w:pPr>
            <w:r>
              <w:t xml:space="preserve">Candidate submits final version of factual record to </w:t>
            </w:r>
            <w:r>
              <w:rPr>
                <w:i/>
              </w:rPr>
              <w:t xml:space="preserve">Ad </w:t>
            </w:r>
            <w:proofErr w:type="spellStart"/>
            <w:r>
              <w:rPr>
                <w:i/>
              </w:rPr>
              <w:t>Personam</w:t>
            </w:r>
            <w:proofErr w:type="spellEnd"/>
          </w:p>
          <w:p w14:paraId="02A7D0C0" w14:textId="2FCD7211" w:rsidR="00894F88" w:rsidRDefault="00894F88">
            <w:pPr>
              <w:pStyle w:val="TableParagraph"/>
              <w:spacing w:before="39" w:line="237" w:lineRule="auto"/>
              <w:ind w:right="795"/>
            </w:pPr>
            <w:r>
              <w:t>Committee</w:t>
            </w:r>
            <w:r w:rsidR="00C244B2">
              <w:t>.</w:t>
            </w:r>
          </w:p>
        </w:tc>
      </w:tr>
      <w:tr w:rsidR="00894F88" w14:paraId="42650CFF" w14:textId="77777777" w:rsidTr="67D9F37D">
        <w:trPr>
          <w:trHeight w:val="362"/>
        </w:trPr>
        <w:tc>
          <w:tcPr>
            <w:tcW w:w="3273" w:type="dxa"/>
          </w:tcPr>
          <w:p w14:paraId="49639F48" w14:textId="0C23AEAD" w:rsidR="00894F88" w:rsidRPr="00E04B89" w:rsidRDefault="00894F88" w:rsidP="00CD2703">
            <w:pPr>
              <w:pStyle w:val="TableParagraph"/>
            </w:pPr>
            <w:r w:rsidRPr="00E04B89">
              <w:t xml:space="preserve">Friday, </w:t>
            </w:r>
            <w:r w:rsidR="00CD2703" w:rsidRPr="00E04B89">
              <w:t>October 2</w:t>
            </w:r>
            <w:r w:rsidR="00712D71">
              <w:t>3</w:t>
            </w:r>
          </w:p>
        </w:tc>
        <w:tc>
          <w:tcPr>
            <w:tcW w:w="6930" w:type="dxa"/>
          </w:tcPr>
          <w:p w14:paraId="0DE26C65" w14:textId="0105D1BD" w:rsidR="00894F88" w:rsidRDefault="00894F88">
            <w:pPr>
              <w:pStyle w:val="TableParagraph"/>
            </w:pPr>
            <w:r>
              <w:rPr>
                <w:i/>
              </w:rPr>
              <w:t xml:space="preserve">Ad </w:t>
            </w:r>
            <w:proofErr w:type="spellStart"/>
            <w:r>
              <w:rPr>
                <w:i/>
              </w:rPr>
              <w:t>Personam</w:t>
            </w:r>
            <w:proofErr w:type="spellEnd"/>
            <w:r>
              <w:rPr>
                <w:i/>
              </w:rPr>
              <w:t xml:space="preserve"> </w:t>
            </w:r>
            <w:r>
              <w:t>Committee</w:t>
            </w:r>
            <w:r w:rsidR="00583F8D">
              <w:t xml:space="preserve"> sends </w:t>
            </w:r>
            <w:r>
              <w:t>Candidate’s dossier to Unit Committee</w:t>
            </w:r>
          </w:p>
        </w:tc>
      </w:tr>
      <w:tr w:rsidR="00733E15" w14:paraId="30B999AD" w14:textId="77777777" w:rsidTr="67D9F37D">
        <w:trPr>
          <w:trHeight w:val="362"/>
        </w:trPr>
        <w:tc>
          <w:tcPr>
            <w:tcW w:w="3273" w:type="dxa"/>
          </w:tcPr>
          <w:p w14:paraId="507F11FC" w14:textId="7F953BE1" w:rsidR="00733E15" w:rsidRPr="00E04B89" w:rsidRDefault="00733E15" w:rsidP="00CD2703">
            <w:pPr>
              <w:pStyle w:val="TableParagraph"/>
            </w:pPr>
            <w:r>
              <w:t xml:space="preserve">Monday, </w:t>
            </w:r>
            <w:r w:rsidR="004632D3">
              <w:t>November 2 – Friday, November 13</w:t>
            </w:r>
          </w:p>
        </w:tc>
        <w:tc>
          <w:tcPr>
            <w:tcW w:w="6930" w:type="dxa"/>
          </w:tcPr>
          <w:p w14:paraId="35E1C119" w14:textId="701B89F4" w:rsidR="00733E15" w:rsidRPr="004632D3" w:rsidRDefault="004632D3">
            <w:pPr>
              <w:pStyle w:val="TableParagraph"/>
              <w:rPr>
                <w:iCs/>
              </w:rPr>
            </w:pPr>
            <w:r>
              <w:rPr>
                <w:iCs/>
              </w:rPr>
              <w:t xml:space="preserve">Window for Unit Committee to meet, discuss NTT Promotion cases, and vote </w:t>
            </w:r>
            <w:r w:rsidR="00A025AF">
              <w:rPr>
                <w:iCs/>
              </w:rPr>
              <w:t xml:space="preserve">anonymously </w:t>
            </w:r>
          </w:p>
        </w:tc>
      </w:tr>
      <w:tr w:rsidR="002122E7" w14:paraId="468DF9F4" w14:textId="77777777" w:rsidTr="67D9F37D">
        <w:trPr>
          <w:trHeight w:val="642"/>
        </w:trPr>
        <w:tc>
          <w:tcPr>
            <w:tcW w:w="3273" w:type="dxa"/>
          </w:tcPr>
          <w:p w14:paraId="3B48A498" w14:textId="624AFE25" w:rsidR="002122E7" w:rsidRDefault="00F01C6C" w:rsidP="00F01C6C">
            <w:pPr>
              <w:pStyle w:val="TableParagraph"/>
              <w:spacing w:before="40"/>
            </w:pPr>
            <w:r>
              <w:lastRenderedPageBreak/>
              <w:t>Monday</w:t>
            </w:r>
            <w:r w:rsidR="00E55774">
              <w:t>, Nov</w:t>
            </w:r>
            <w:r w:rsidR="005A5667">
              <w:t>ember</w:t>
            </w:r>
            <w:r w:rsidR="00E55774">
              <w:t xml:space="preserve"> </w:t>
            </w:r>
            <w:r w:rsidR="0034249E">
              <w:t>1</w:t>
            </w:r>
            <w:r w:rsidR="00DB7D81">
              <w:t>6</w:t>
            </w:r>
          </w:p>
        </w:tc>
        <w:tc>
          <w:tcPr>
            <w:tcW w:w="6930" w:type="dxa"/>
          </w:tcPr>
          <w:p w14:paraId="6CDF1DFA" w14:textId="23B5B33C" w:rsidR="002122E7" w:rsidRDefault="00E55774" w:rsidP="00A15312">
            <w:pPr>
              <w:pStyle w:val="TableParagraph"/>
              <w:spacing w:before="40"/>
              <w:ind w:right="1"/>
            </w:pPr>
            <w:r>
              <w:t>Unit Committee report and Chair recommendation</w:t>
            </w:r>
            <w:r w:rsidR="004632D3">
              <w:t>,</w:t>
            </w:r>
            <w:r w:rsidR="00A15312">
              <w:t xml:space="preserve"> </w:t>
            </w:r>
            <w:r w:rsidR="004632D3">
              <w:t xml:space="preserve">based on Unit Committee meeting, </w:t>
            </w:r>
            <w:r>
              <w:t>are conveyed to Candidate</w:t>
            </w:r>
          </w:p>
        </w:tc>
      </w:tr>
      <w:tr w:rsidR="002122E7" w14:paraId="45515F13" w14:textId="77777777" w:rsidTr="67D9F37D">
        <w:trPr>
          <w:trHeight w:val="642"/>
        </w:trPr>
        <w:tc>
          <w:tcPr>
            <w:tcW w:w="3273" w:type="dxa"/>
          </w:tcPr>
          <w:p w14:paraId="4FBAE27A" w14:textId="7B6572F8" w:rsidR="002122E7" w:rsidRDefault="00E55774" w:rsidP="00C244B2">
            <w:pPr>
              <w:pStyle w:val="TableParagraph"/>
              <w:spacing w:before="40"/>
              <w:ind w:right="535"/>
            </w:pPr>
            <w:r>
              <w:t>Within</w:t>
            </w:r>
            <w:r w:rsidR="00C12F15">
              <w:t xml:space="preserve"> </w:t>
            </w:r>
            <w:r w:rsidR="00F01C6C">
              <w:t>14</w:t>
            </w:r>
            <w:r>
              <w:t xml:space="preserve"> days of </w:t>
            </w:r>
            <w:r w:rsidR="000C0B70">
              <w:t>the Unit Committee Report/Chair</w:t>
            </w:r>
            <w:r w:rsidR="00235237">
              <w:t>’</w:t>
            </w:r>
            <w:r w:rsidR="000C0B70">
              <w:t xml:space="preserve">s </w:t>
            </w:r>
            <w:r w:rsidR="00235237">
              <w:t>r</w:t>
            </w:r>
            <w:r w:rsidR="000C0B70">
              <w:t>ecommendation</w:t>
            </w:r>
            <w:r w:rsidR="000874F0">
              <w:t xml:space="preserve"> being conveyed to the candidate</w:t>
            </w:r>
            <w:r w:rsidR="000C0B70">
              <w:t xml:space="preserve"> </w:t>
            </w:r>
          </w:p>
        </w:tc>
        <w:tc>
          <w:tcPr>
            <w:tcW w:w="6930" w:type="dxa"/>
          </w:tcPr>
          <w:p w14:paraId="4F8F3E2F" w14:textId="233022EF" w:rsidR="002122E7" w:rsidRDefault="00E55774">
            <w:pPr>
              <w:pStyle w:val="TableParagraph"/>
              <w:spacing w:before="40"/>
            </w:pPr>
            <w:r>
              <w:t xml:space="preserve">Deadline for Candidate to submit </w:t>
            </w:r>
            <w:r w:rsidR="003B0030">
              <w:t>any response to the Unit’s Recommendation</w:t>
            </w:r>
          </w:p>
        </w:tc>
      </w:tr>
      <w:tr w:rsidR="007B31DF" w14:paraId="3599F3B3" w14:textId="77777777" w:rsidTr="67D9F37D">
        <w:trPr>
          <w:trHeight w:val="642"/>
        </w:trPr>
        <w:tc>
          <w:tcPr>
            <w:tcW w:w="3273" w:type="dxa"/>
          </w:tcPr>
          <w:p w14:paraId="02BFC26C" w14:textId="22CBCC2C" w:rsidR="007B31DF" w:rsidRDefault="007B31DF" w:rsidP="00C244B2">
            <w:pPr>
              <w:pStyle w:val="TableParagraph"/>
              <w:spacing w:before="40"/>
              <w:ind w:right="535"/>
            </w:pPr>
            <w:r>
              <w:t>Within 10 days</w:t>
            </w:r>
            <w:r w:rsidR="00533857">
              <w:t xml:space="preserve"> of </w:t>
            </w:r>
            <w:r w:rsidR="000874F0">
              <w:t>any response from the candidate being conveyed to the committee.</w:t>
            </w:r>
          </w:p>
        </w:tc>
        <w:tc>
          <w:tcPr>
            <w:tcW w:w="6930" w:type="dxa"/>
          </w:tcPr>
          <w:p w14:paraId="1192537F" w14:textId="4FDD123A" w:rsidR="007B31DF" w:rsidRDefault="007B31DF" w:rsidP="005D26B1">
            <w:pPr>
              <w:pStyle w:val="TableParagraph"/>
              <w:ind w:left="107" w:right="220"/>
            </w:pPr>
            <w:r>
              <w:t>Unit Chair conveys</w:t>
            </w:r>
            <w:r>
              <w:rPr>
                <w:spacing w:val="-9"/>
              </w:rPr>
              <w:t xml:space="preserve"> </w:t>
            </w:r>
            <w:r>
              <w:t>report</w:t>
            </w:r>
            <w:r>
              <w:rPr>
                <w:spacing w:val="-9"/>
              </w:rPr>
              <w:t xml:space="preserve"> </w:t>
            </w:r>
            <w:r>
              <w:t>on</w:t>
            </w:r>
            <w:r>
              <w:rPr>
                <w:spacing w:val="-10"/>
              </w:rPr>
              <w:t xml:space="preserve"> </w:t>
            </w:r>
            <w:r>
              <w:t>outcome</w:t>
            </w:r>
            <w:r>
              <w:rPr>
                <w:spacing w:val="-7"/>
              </w:rPr>
              <w:t xml:space="preserve"> </w:t>
            </w:r>
            <w:r>
              <w:t>of any reconsideration</w:t>
            </w:r>
            <w:r w:rsidR="005D26B1">
              <w:t xml:space="preserve"> </w:t>
            </w:r>
            <w:r>
              <w:t>to</w:t>
            </w:r>
            <w:r>
              <w:rPr>
                <w:spacing w:val="1"/>
              </w:rPr>
              <w:t xml:space="preserve"> </w:t>
            </w:r>
            <w:r>
              <w:rPr>
                <w:spacing w:val="-2"/>
              </w:rPr>
              <w:t>Candidate</w:t>
            </w:r>
          </w:p>
        </w:tc>
      </w:tr>
      <w:tr w:rsidR="006E4F00" w:rsidRPr="006E4F00" w14:paraId="5A0FA222" w14:textId="77777777" w:rsidTr="67D9F37D">
        <w:trPr>
          <w:trHeight w:val="601"/>
        </w:trPr>
        <w:tc>
          <w:tcPr>
            <w:tcW w:w="3273" w:type="dxa"/>
          </w:tcPr>
          <w:p w14:paraId="5DB9391D" w14:textId="6AB0A999" w:rsidR="002122E7" w:rsidRPr="006E4F00" w:rsidRDefault="00E55774" w:rsidP="00667916">
            <w:pPr>
              <w:pStyle w:val="TableParagraph"/>
              <w:spacing w:before="71"/>
              <w:ind w:left="93"/>
              <w:rPr>
                <w:b/>
              </w:rPr>
            </w:pPr>
            <w:r w:rsidRPr="006E4F00">
              <w:rPr>
                <w:b/>
              </w:rPr>
              <w:t xml:space="preserve">Friday, </w:t>
            </w:r>
            <w:r w:rsidR="00667916" w:rsidRPr="006E4F00">
              <w:rPr>
                <w:b/>
              </w:rPr>
              <w:t>December 1</w:t>
            </w:r>
            <w:r w:rsidR="007D2DDA">
              <w:rPr>
                <w:b/>
              </w:rPr>
              <w:t>1</w:t>
            </w:r>
          </w:p>
        </w:tc>
        <w:tc>
          <w:tcPr>
            <w:tcW w:w="6930" w:type="dxa"/>
          </w:tcPr>
          <w:p w14:paraId="25D0E5E1" w14:textId="72D7067A" w:rsidR="002122E7" w:rsidRPr="006E4F00" w:rsidRDefault="00E55774">
            <w:pPr>
              <w:pStyle w:val="TableParagraph"/>
              <w:spacing w:before="39" w:line="237" w:lineRule="auto"/>
              <w:ind w:right="395"/>
              <w:rPr>
                <w:b/>
              </w:rPr>
            </w:pPr>
            <w:r w:rsidRPr="006E4F00">
              <w:rPr>
                <w:b/>
              </w:rPr>
              <w:t>Primary Unit Chair forwards dossiers to Deans’ offices in which Candidate holds an appointment</w:t>
            </w:r>
            <w:r w:rsidR="00C8410E" w:rsidRPr="006E4F00">
              <w:rPr>
                <w:b/>
              </w:rPr>
              <w:t>, including any response from the candidate</w:t>
            </w:r>
          </w:p>
        </w:tc>
      </w:tr>
      <w:tr w:rsidR="002122E7" w14:paraId="246800B2" w14:textId="77777777" w:rsidTr="67D9F37D">
        <w:trPr>
          <w:trHeight w:val="362"/>
        </w:trPr>
        <w:tc>
          <w:tcPr>
            <w:tcW w:w="3273" w:type="dxa"/>
          </w:tcPr>
          <w:p w14:paraId="24CBD170" w14:textId="5EFC894F" w:rsidR="002122E7" w:rsidRDefault="00E55774" w:rsidP="00667916">
            <w:pPr>
              <w:pStyle w:val="TableParagraph"/>
              <w:spacing w:before="40"/>
            </w:pPr>
            <w:r>
              <w:t>Friday,</w:t>
            </w:r>
            <w:r w:rsidR="00C778B3">
              <w:t xml:space="preserve"> </w:t>
            </w:r>
            <w:r w:rsidR="00B6638F">
              <w:t xml:space="preserve">January </w:t>
            </w:r>
            <w:r w:rsidR="007D2DDA">
              <w:t>29</w:t>
            </w:r>
            <w:r w:rsidR="002D03CD">
              <w:t>, 2027</w:t>
            </w:r>
          </w:p>
        </w:tc>
        <w:tc>
          <w:tcPr>
            <w:tcW w:w="6930" w:type="dxa"/>
          </w:tcPr>
          <w:p w14:paraId="3A2E7C6C" w14:textId="54985D7C" w:rsidR="002122E7" w:rsidRDefault="00E55774">
            <w:pPr>
              <w:pStyle w:val="TableParagraph"/>
              <w:spacing w:before="40"/>
            </w:pPr>
            <w:r>
              <w:t>Dean conveys recommendations to Candidate</w:t>
            </w:r>
          </w:p>
        </w:tc>
      </w:tr>
      <w:tr w:rsidR="002122E7" w14:paraId="1E4045D2" w14:textId="77777777" w:rsidTr="67D9F37D">
        <w:trPr>
          <w:trHeight w:val="642"/>
        </w:trPr>
        <w:tc>
          <w:tcPr>
            <w:tcW w:w="3273" w:type="dxa"/>
          </w:tcPr>
          <w:p w14:paraId="44EF6EC0" w14:textId="461E652E" w:rsidR="002122E7" w:rsidRDefault="00E55774" w:rsidP="00235237">
            <w:pPr>
              <w:pStyle w:val="TableParagraph"/>
              <w:ind w:right="180"/>
            </w:pPr>
            <w:r>
              <w:t xml:space="preserve">Within </w:t>
            </w:r>
            <w:r w:rsidR="00186194">
              <w:t xml:space="preserve">14 </w:t>
            </w:r>
            <w:r>
              <w:t xml:space="preserve">days </w:t>
            </w:r>
            <w:r w:rsidR="004F66A1">
              <w:t xml:space="preserve">of the Dean’s </w:t>
            </w:r>
            <w:r w:rsidR="00235237">
              <w:t>r</w:t>
            </w:r>
            <w:r w:rsidR="004F66A1">
              <w:t xml:space="preserve">ecommendation being conveyed to the candidate </w:t>
            </w:r>
          </w:p>
        </w:tc>
        <w:tc>
          <w:tcPr>
            <w:tcW w:w="6930" w:type="dxa"/>
          </w:tcPr>
          <w:p w14:paraId="30789D88" w14:textId="660D5299" w:rsidR="002122E7" w:rsidRDefault="00E55774">
            <w:pPr>
              <w:pStyle w:val="TableParagraph"/>
            </w:pPr>
            <w:r>
              <w:t>Deadline for Candidate to submit any response</w:t>
            </w:r>
            <w:r w:rsidR="00E96B7B">
              <w:t xml:space="preserve"> to the Dean’s Recommendation</w:t>
            </w:r>
            <w:r w:rsidR="002D03CD">
              <w:t xml:space="preserve"> </w:t>
            </w:r>
          </w:p>
        </w:tc>
      </w:tr>
      <w:tr w:rsidR="002122E7" w:rsidRPr="006E4F00" w14:paraId="1BEF5D17" w14:textId="77777777" w:rsidTr="67D9F37D">
        <w:trPr>
          <w:trHeight w:val="642"/>
        </w:trPr>
        <w:tc>
          <w:tcPr>
            <w:tcW w:w="3273" w:type="dxa"/>
          </w:tcPr>
          <w:p w14:paraId="22C353D8" w14:textId="10CE84F9" w:rsidR="002122E7" w:rsidRPr="006E4F00" w:rsidRDefault="00667916" w:rsidP="00667916">
            <w:pPr>
              <w:pStyle w:val="TableParagraph"/>
              <w:rPr>
                <w:b/>
              </w:rPr>
            </w:pPr>
            <w:r w:rsidRPr="006E4F00">
              <w:rPr>
                <w:b/>
              </w:rPr>
              <w:t>Monday, February 1</w:t>
            </w:r>
            <w:r w:rsidR="00165DBC">
              <w:rPr>
                <w:b/>
              </w:rPr>
              <w:t>5</w:t>
            </w:r>
          </w:p>
        </w:tc>
        <w:tc>
          <w:tcPr>
            <w:tcW w:w="6930" w:type="dxa"/>
          </w:tcPr>
          <w:p w14:paraId="3A74550B" w14:textId="40EA2D42" w:rsidR="002122E7" w:rsidRPr="006E4F00" w:rsidRDefault="00E55774" w:rsidP="00C244B2">
            <w:pPr>
              <w:pStyle w:val="TableParagraph"/>
              <w:ind w:right="363"/>
              <w:rPr>
                <w:b/>
              </w:rPr>
            </w:pPr>
            <w:r w:rsidRPr="006E4F00">
              <w:rPr>
                <w:b/>
              </w:rPr>
              <w:t>Dean’s office sends dossier to Academic Affairs for distribution to Senate Committee on NTT Promotion</w:t>
            </w:r>
            <w:r w:rsidR="00C8410E" w:rsidRPr="006E4F00">
              <w:rPr>
                <w:b/>
              </w:rPr>
              <w:t>, including any response from the candidate</w:t>
            </w:r>
          </w:p>
        </w:tc>
      </w:tr>
      <w:tr w:rsidR="00F47FA2" w:rsidRPr="006E4F00" w14:paraId="6AF6C6C2" w14:textId="77777777" w:rsidTr="67D9F37D">
        <w:trPr>
          <w:trHeight w:val="642"/>
        </w:trPr>
        <w:tc>
          <w:tcPr>
            <w:tcW w:w="3273" w:type="dxa"/>
          </w:tcPr>
          <w:p w14:paraId="02FD563F" w14:textId="554B31FD" w:rsidR="00F47FA2" w:rsidRPr="00F47FA2" w:rsidRDefault="00F47FA2" w:rsidP="00F47FA2">
            <w:pPr>
              <w:pStyle w:val="TableParagraph"/>
              <w:rPr>
                <w:bCs/>
              </w:rPr>
            </w:pPr>
            <w:r w:rsidRPr="00F47FA2">
              <w:rPr>
                <w:bCs/>
              </w:rPr>
              <w:t xml:space="preserve">Monday, </w:t>
            </w:r>
            <w:r w:rsidR="00222147">
              <w:rPr>
                <w:bCs/>
              </w:rPr>
              <w:t xml:space="preserve">February </w:t>
            </w:r>
            <w:r w:rsidR="00165DBC">
              <w:rPr>
                <w:bCs/>
              </w:rPr>
              <w:t>22</w:t>
            </w:r>
            <w:r w:rsidRPr="00F47FA2">
              <w:rPr>
                <w:bCs/>
              </w:rPr>
              <w:t xml:space="preserve"> – </w:t>
            </w:r>
          </w:p>
          <w:p w14:paraId="68264D46" w14:textId="2F2C1B39" w:rsidR="00F47FA2" w:rsidRPr="006E4F00" w:rsidRDefault="00F47FA2" w:rsidP="00F47FA2">
            <w:pPr>
              <w:pStyle w:val="TableParagraph"/>
              <w:rPr>
                <w:b/>
              </w:rPr>
            </w:pPr>
            <w:r w:rsidRPr="00F47FA2">
              <w:rPr>
                <w:bCs/>
              </w:rPr>
              <w:t>Wednesday, March 10</w:t>
            </w:r>
          </w:p>
        </w:tc>
        <w:tc>
          <w:tcPr>
            <w:tcW w:w="6930" w:type="dxa"/>
          </w:tcPr>
          <w:p w14:paraId="206F5AB0" w14:textId="73A3EBD0" w:rsidR="00F47FA2" w:rsidRPr="006E4F00" w:rsidRDefault="00F47FA2" w:rsidP="00F47FA2">
            <w:pPr>
              <w:pStyle w:val="TableParagraph"/>
              <w:ind w:right="363"/>
              <w:rPr>
                <w:b/>
              </w:rPr>
            </w:pPr>
            <w:r>
              <w:rPr>
                <w:iCs/>
              </w:rPr>
              <w:t xml:space="preserve">Window for campus committee to meet, discuss NTT Promotion cases, and vote anonymously </w:t>
            </w:r>
          </w:p>
        </w:tc>
      </w:tr>
      <w:tr w:rsidR="00F47FA2" w14:paraId="18FBA5A5" w14:textId="77777777" w:rsidTr="00FF4582">
        <w:trPr>
          <w:trHeight w:val="421"/>
        </w:trPr>
        <w:tc>
          <w:tcPr>
            <w:tcW w:w="3273" w:type="dxa"/>
          </w:tcPr>
          <w:p w14:paraId="48D309E1" w14:textId="276BD534" w:rsidR="00F47FA2" w:rsidRDefault="00F47FA2" w:rsidP="00F47FA2">
            <w:pPr>
              <w:pStyle w:val="TableParagraph"/>
              <w:ind w:right="910"/>
            </w:pPr>
            <w:r>
              <w:t>Friday, March 12</w:t>
            </w:r>
          </w:p>
        </w:tc>
        <w:tc>
          <w:tcPr>
            <w:tcW w:w="6930" w:type="dxa"/>
          </w:tcPr>
          <w:p w14:paraId="632EE45D" w14:textId="2B410545" w:rsidR="00F47FA2" w:rsidRDefault="00F47FA2" w:rsidP="00FF4582">
            <w:pPr>
              <w:pStyle w:val="TableParagraph"/>
              <w:ind w:right="271"/>
            </w:pPr>
            <w:r>
              <w:t xml:space="preserve">NTT Promotion Committee conveys </w:t>
            </w:r>
            <w:r w:rsidR="00FF4582">
              <w:t>r</w:t>
            </w:r>
            <w:r>
              <w:t>ecommendation to Candidate</w:t>
            </w:r>
          </w:p>
        </w:tc>
      </w:tr>
      <w:tr w:rsidR="00F47FA2" w14:paraId="3201D56C" w14:textId="77777777" w:rsidTr="67D9F37D">
        <w:trPr>
          <w:trHeight w:val="642"/>
        </w:trPr>
        <w:tc>
          <w:tcPr>
            <w:tcW w:w="3273" w:type="dxa"/>
          </w:tcPr>
          <w:p w14:paraId="090E66F6" w14:textId="49B7B6EC" w:rsidR="00F47FA2" w:rsidRDefault="00F47FA2" w:rsidP="00F47FA2">
            <w:pPr>
              <w:pStyle w:val="TableParagraph"/>
            </w:pPr>
            <w:r>
              <w:t xml:space="preserve">Within 14 days of </w:t>
            </w:r>
            <w:r w:rsidR="00BC17C0">
              <w:t>the campus committee’s recommendation being conveyed to the candidate</w:t>
            </w:r>
          </w:p>
        </w:tc>
        <w:tc>
          <w:tcPr>
            <w:tcW w:w="6930" w:type="dxa"/>
          </w:tcPr>
          <w:p w14:paraId="0890B1CE" w14:textId="0D0C3C68" w:rsidR="00F47FA2" w:rsidRDefault="00F47FA2" w:rsidP="00F47FA2">
            <w:pPr>
              <w:pStyle w:val="TableParagraph"/>
              <w:ind w:right="1943"/>
            </w:pPr>
            <w:r>
              <w:t xml:space="preserve">Deadline for Candidate to submit to any response to NTT </w:t>
            </w:r>
            <w:r w:rsidR="00BC17C0">
              <w:t xml:space="preserve">Promotion </w:t>
            </w:r>
            <w:r>
              <w:t>Committee’s recommendation</w:t>
            </w:r>
          </w:p>
        </w:tc>
      </w:tr>
      <w:tr w:rsidR="00F47FA2" w:rsidRPr="006E4F00" w14:paraId="6243BD65" w14:textId="77777777" w:rsidTr="67D9F37D">
        <w:trPr>
          <w:trHeight w:val="362"/>
        </w:trPr>
        <w:tc>
          <w:tcPr>
            <w:tcW w:w="3273" w:type="dxa"/>
          </w:tcPr>
          <w:p w14:paraId="0B6562CF" w14:textId="6DAC578F" w:rsidR="00F47FA2" w:rsidRPr="006E4F00" w:rsidRDefault="00F47FA2" w:rsidP="67D9F37D">
            <w:pPr>
              <w:pStyle w:val="TableParagraph"/>
              <w:rPr>
                <w:b/>
                <w:bCs/>
              </w:rPr>
            </w:pPr>
            <w:r w:rsidRPr="67D9F37D">
              <w:rPr>
                <w:b/>
                <w:bCs/>
              </w:rPr>
              <w:t xml:space="preserve">Friday, April </w:t>
            </w:r>
            <w:r w:rsidR="00C33814">
              <w:rPr>
                <w:b/>
                <w:bCs/>
              </w:rPr>
              <w:t>9</w:t>
            </w:r>
          </w:p>
        </w:tc>
        <w:tc>
          <w:tcPr>
            <w:tcW w:w="6930" w:type="dxa"/>
          </w:tcPr>
          <w:p w14:paraId="4B8C591E" w14:textId="2BD07500" w:rsidR="00F47FA2" w:rsidRPr="006E4F00" w:rsidRDefault="00F47FA2" w:rsidP="00F47FA2">
            <w:pPr>
              <w:pStyle w:val="TableParagraph"/>
              <w:rPr>
                <w:b/>
              </w:rPr>
            </w:pPr>
            <w:r w:rsidRPr="006E4F00">
              <w:rPr>
                <w:b/>
              </w:rPr>
              <w:t>Committee sends dossier to Provost, including any response from the candidate</w:t>
            </w:r>
          </w:p>
        </w:tc>
      </w:tr>
      <w:tr w:rsidR="00F47FA2" w14:paraId="614FC2AB" w14:textId="77777777" w:rsidTr="67D9F37D">
        <w:trPr>
          <w:trHeight w:val="642"/>
        </w:trPr>
        <w:tc>
          <w:tcPr>
            <w:tcW w:w="3273" w:type="dxa"/>
          </w:tcPr>
          <w:p w14:paraId="5BC5C24D" w14:textId="2ED4C880" w:rsidR="00F47FA2" w:rsidRDefault="006C151F" w:rsidP="00F47FA2">
            <w:pPr>
              <w:pStyle w:val="TableParagraph"/>
              <w:ind w:right="319"/>
            </w:pPr>
            <w:r>
              <w:t>Typically,</w:t>
            </w:r>
            <w:r w:rsidR="00F47FA2">
              <w:t xml:space="preserve"> within 30 days of receiving dossier </w:t>
            </w:r>
          </w:p>
        </w:tc>
        <w:tc>
          <w:tcPr>
            <w:tcW w:w="6930" w:type="dxa"/>
          </w:tcPr>
          <w:p w14:paraId="4CBBF26B" w14:textId="77777777" w:rsidR="00F47FA2" w:rsidRDefault="00F47FA2" w:rsidP="00F47FA2">
            <w:pPr>
              <w:pStyle w:val="TableParagraph"/>
            </w:pPr>
            <w:r>
              <w:t>Provost conveys decision to Candidate</w:t>
            </w:r>
          </w:p>
        </w:tc>
      </w:tr>
      <w:tr w:rsidR="00F47FA2" w14:paraId="1CBA6FFD" w14:textId="77777777" w:rsidTr="67D9F37D">
        <w:trPr>
          <w:trHeight w:val="640"/>
        </w:trPr>
        <w:tc>
          <w:tcPr>
            <w:tcW w:w="3273" w:type="dxa"/>
          </w:tcPr>
          <w:p w14:paraId="4BEC051E" w14:textId="16517068" w:rsidR="00F47FA2" w:rsidRDefault="00F47FA2" w:rsidP="00F47FA2">
            <w:pPr>
              <w:pStyle w:val="TableParagraph"/>
              <w:ind w:right="1071"/>
            </w:pPr>
            <w:r>
              <w:t xml:space="preserve">Within 14 days of receiving decision </w:t>
            </w:r>
          </w:p>
        </w:tc>
        <w:tc>
          <w:tcPr>
            <w:tcW w:w="6930" w:type="dxa"/>
          </w:tcPr>
          <w:p w14:paraId="388D386D" w14:textId="77777777" w:rsidR="00F47FA2" w:rsidRDefault="00F47FA2" w:rsidP="00F47FA2">
            <w:pPr>
              <w:pStyle w:val="TableParagraph"/>
              <w:ind w:right="829"/>
            </w:pPr>
            <w:r>
              <w:t>Deadline for Candidate to submit to Provost any response and/ or request for reconsideration</w:t>
            </w:r>
          </w:p>
        </w:tc>
      </w:tr>
      <w:tr w:rsidR="00F47FA2" w14:paraId="78A35152" w14:textId="77777777" w:rsidTr="67D9F37D">
        <w:trPr>
          <w:trHeight w:val="642"/>
        </w:trPr>
        <w:tc>
          <w:tcPr>
            <w:tcW w:w="3273" w:type="dxa"/>
          </w:tcPr>
          <w:p w14:paraId="3766EDD7" w14:textId="12CCDC32" w:rsidR="00F47FA2" w:rsidRDefault="00F47FA2" w:rsidP="00F47FA2">
            <w:pPr>
              <w:pStyle w:val="TableParagraph"/>
              <w:ind w:right="274"/>
            </w:pPr>
            <w:r>
              <w:t xml:space="preserve">Normally within 20 days of request </w:t>
            </w:r>
          </w:p>
        </w:tc>
        <w:tc>
          <w:tcPr>
            <w:tcW w:w="6930" w:type="dxa"/>
          </w:tcPr>
          <w:p w14:paraId="02BF1C0A" w14:textId="77777777" w:rsidR="00F47FA2" w:rsidRDefault="00F47FA2" w:rsidP="00F47FA2">
            <w:pPr>
              <w:pStyle w:val="TableParagraph"/>
            </w:pPr>
            <w:r>
              <w:t>Provost responds to Candidate</w:t>
            </w:r>
          </w:p>
        </w:tc>
      </w:tr>
      <w:tr w:rsidR="00F47FA2" w14:paraId="2C5BAA02" w14:textId="77777777" w:rsidTr="67D9F37D">
        <w:trPr>
          <w:trHeight w:val="361"/>
        </w:trPr>
        <w:tc>
          <w:tcPr>
            <w:tcW w:w="3273" w:type="dxa"/>
          </w:tcPr>
          <w:p w14:paraId="2C739EA5" w14:textId="4B0A9243" w:rsidR="00F47FA2" w:rsidRDefault="00F47FA2" w:rsidP="00F47FA2">
            <w:pPr>
              <w:pStyle w:val="TableParagraph"/>
            </w:pPr>
            <w:r>
              <w:t>Friday, July 3</w:t>
            </w:r>
            <w:r w:rsidR="006C151F">
              <w:t>0</w:t>
            </w:r>
          </w:p>
        </w:tc>
        <w:tc>
          <w:tcPr>
            <w:tcW w:w="6930" w:type="dxa"/>
          </w:tcPr>
          <w:p w14:paraId="6A99E10D" w14:textId="77777777" w:rsidR="00F47FA2" w:rsidRDefault="00F47FA2" w:rsidP="00BF6982">
            <w:pPr>
              <w:pStyle w:val="TableParagraph"/>
              <w:ind w:left="90"/>
            </w:pPr>
            <w:r>
              <w:t>Deadline for Provost’s final action</w:t>
            </w:r>
          </w:p>
        </w:tc>
      </w:tr>
    </w:tbl>
    <w:p w14:paraId="6D331335" w14:textId="58F4766F" w:rsidR="009535CB" w:rsidRDefault="009535CB" w:rsidP="00AB545D"/>
    <w:sectPr w:rsidR="009535CB" w:rsidSect="003773C3">
      <w:headerReference w:type="even" r:id="rId10"/>
      <w:headerReference w:type="default" r:id="rId11"/>
      <w:footerReference w:type="even" r:id="rId12"/>
      <w:footerReference w:type="default" r:id="rId13"/>
      <w:headerReference w:type="first" r:id="rId14"/>
      <w:footerReference w:type="first" r:id="rId15"/>
      <w:pgSz w:w="12240" w:h="15840"/>
      <w:pgMar w:top="1000" w:right="99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E64A" w14:textId="77777777" w:rsidR="005A00BE" w:rsidRDefault="005A00BE" w:rsidP="00913C34">
      <w:r>
        <w:separator/>
      </w:r>
    </w:p>
  </w:endnote>
  <w:endnote w:type="continuationSeparator" w:id="0">
    <w:p w14:paraId="0B1D7E93" w14:textId="77777777" w:rsidR="005A00BE" w:rsidRDefault="005A00BE" w:rsidP="00913C34">
      <w:r>
        <w:continuationSeparator/>
      </w:r>
    </w:p>
  </w:endnote>
  <w:endnote w:type="continuationNotice" w:id="1">
    <w:p w14:paraId="21BE1C17" w14:textId="77777777" w:rsidR="005A00BE" w:rsidRDefault="005A0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B977" w14:textId="77777777" w:rsidR="00913C34" w:rsidRDefault="00913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130BA" w14:textId="77777777" w:rsidR="00913C34" w:rsidRDefault="00913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71B8E" w14:textId="77777777" w:rsidR="00913C34" w:rsidRDefault="0091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FD856" w14:textId="77777777" w:rsidR="005A00BE" w:rsidRDefault="005A00BE" w:rsidP="00913C34">
      <w:r>
        <w:separator/>
      </w:r>
    </w:p>
  </w:footnote>
  <w:footnote w:type="continuationSeparator" w:id="0">
    <w:p w14:paraId="45A05A82" w14:textId="77777777" w:rsidR="005A00BE" w:rsidRDefault="005A00BE" w:rsidP="00913C34">
      <w:r>
        <w:continuationSeparator/>
      </w:r>
    </w:p>
  </w:footnote>
  <w:footnote w:type="continuationNotice" w:id="1">
    <w:p w14:paraId="74ACA56B" w14:textId="77777777" w:rsidR="005A00BE" w:rsidRDefault="005A0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8D18E" w14:textId="77777777" w:rsidR="00913C34" w:rsidRDefault="00913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C7320" w14:textId="16BF6BF7" w:rsidR="00913C34" w:rsidRDefault="00913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D758" w14:textId="77777777" w:rsidR="00913C34" w:rsidRDefault="00913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E7"/>
    <w:rsid w:val="0001622D"/>
    <w:rsid w:val="00030E11"/>
    <w:rsid w:val="00031320"/>
    <w:rsid w:val="000329EA"/>
    <w:rsid w:val="000508AD"/>
    <w:rsid w:val="00081568"/>
    <w:rsid w:val="000874F0"/>
    <w:rsid w:val="000B23B9"/>
    <w:rsid w:val="000B3028"/>
    <w:rsid w:val="000C0B70"/>
    <w:rsid w:val="000C4E4B"/>
    <w:rsid w:val="000D518F"/>
    <w:rsid w:val="000D586A"/>
    <w:rsid w:val="000E793D"/>
    <w:rsid w:val="000E7C8A"/>
    <w:rsid w:val="00101224"/>
    <w:rsid w:val="001154EE"/>
    <w:rsid w:val="00117A74"/>
    <w:rsid w:val="00125C47"/>
    <w:rsid w:val="00150346"/>
    <w:rsid w:val="001542A2"/>
    <w:rsid w:val="00165DBC"/>
    <w:rsid w:val="00167538"/>
    <w:rsid w:val="0018209E"/>
    <w:rsid w:val="001823BD"/>
    <w:rsid w:val="00186194"/>
    <w:rsid w:val="00207B84"/>
    <w:rsid w:val="002113CD"/>
    <w:rsid w:val="002122E7"/>
    <w:rsid w:val="00222147"/>
    <w:rsid w:val="00235237"/>
    <w:rsid w:val="0025702A"/>
    <w:rsid w:val="00265CA6"/>
    <w:rsid w:val="00267AB7"/>
    <w:rsid w:val="002715EB"/>
    <w:rsid w:val="002B0A37"/>
    <w:rsid w:val="002B2652"/>
    <w:rsid w:val="002B716E"/>
    <w:rsid w:val="002C1A30"/>
    <w:rsid w:val="002C6D8B"/>
    <w:rsid w:val="002D03CD"/>
    <w:rsid w:val="002D384F"/>
    <w:rsid w:val="003045DA"/>
    <w:rsid w:val="00314F85"/>
    <w:rsid w:val="00316718"/>
    <w:rsid w:val="0033121B"/>
    <w:rsid w:val="003336FC"/>
    <w:rsid w:val="00337F22"/>
    <w:rsid w:val="0034249E"/>
    <w:rsid w:val="00351638"/>
    <w:rsid w:val="003773C3"/>
    <w:rsid w:val="003B0030"/>
    <w:rsid w:val="003B7FC6"/>
    <w:rsid w:val="003C5459"/>
    <w:rsid w:val="003D0162"/>
    <w:rsid w:val="003D026B"/>
    <w:rsid w:val="003D274D"/>
    <w:rsid w:val="003D7B88"/>
    <w:rsid w:val="003E346F"/>
    <w:rsid w:val="00412CD1"/>
    <w:rsid w:val="004315F9"/>
    <w:rsid w:val="004436E0"/>
    <w:rsid w:val="004447B0"/>
    <w:rsid w:val="0044529D"/>
    <w:rsid w:val="004632D3"/>
    <w:rsid w:val="00464130"/>
    <w:rsid w:val="004751BF"/>
    <w:rsid w:val="00493D18"/>
    <w:rsid w:val="004B5CBA"/>
    <w:rsid w:val="004D7CBD"/>
    <w:rsid w:val="004E199B"/>
    <w:rsid w:val="004F2F99"/>
    <w:rsid w:val="004F5B8E"/>
    <w:rsid w:val="004F66A1"/>
    <w:rsid w:val="004F7252"/>
    <w:rsid w:val="004F7DA0"/>
    <w:rsid w:val="00533857"/>
    <w:rsid w:val="0053453D"/>
    <w:rsid w:val="00536897"/>
    <w:rsid w:val="005418D2"/>
    <w:rsid w:val="00561CF3"/>
    <w:rsid w:val="00580BFB"/>
    <w:rsid w:val="00583F8D"/>
    <w:rsid w:val="00586397"/>
    <w:rsid w:val="00594178"/>
    <w:rsid w:val="005A00BE"/>
    <w:rsid w:val="005A3883"/>
    <w:rsid w:val="005A5667"/>
    <w:rsid w:val="005B25A9"/>
    <w:rsid w:val="005C3ACA"/>
    <w:rsid w:val="005C5099"/>
    <w:rsid w:val="005D26B1"/>
    <w:rsid w:val="005F783B"/>
    <w:rsid w:val="00601232"/>
    <w:rsid w:val="00621280"/>
    <w:rsid w:val="006240F5"/>
    <w:rsid w:val="00631EAC"/>
    <w:rsid w:val="00633D20"/>
    <w:rsid w:val="006432FA"/>
    <w:rsid w:val="00656E04"/>
    <w:rsid w:val="00657D48"/>
    <w:rsid w:val="00665908"/>
    <w:rsid w:val="00667916"/>
    <w:rsid w:val="0067031A"/>
    <w:rsid w:val="006875B2"/>
    <w:rsid w:val="00693C0E"/>
    <w:rsid w:val="006A4B95"/>
    <w:rsid w:val="006B0595"/>
    <w:rsid w:val="006B240C"/>
    <w:rsid w:val="006B55AF"/>
    <w:rsid w:val="006C151F"/>
    <w:rsid w:val="006E4F00"/>
    <w:rsid w:val="006E7BC0"/>
    <w:rsid w:val="006F76AB"/>
    <w:rsid w:val="00712D71"/>
    <w:rsid w:val="00733E15"/>
    <w:rsid w:val="00742BF6"/>
    <w:rsid w:val="00753661"/>
    <w:rsid w:val="00756E21"/>
    <w:rsid w:val="00762023"/>
    <w:rsid w:val="00763ACE"/>
    <w:rsid w:val="0077448B"/>
    <w:rsid w:val="00783C85"/>
    <w:rsid w:val="007865D2"/>
    <w:rsid w:val="007A527F"/>
    <w:rsid w:val="007A56A6"/>
    <w:rsid w:val="007A6AA9"/>
    <w:rsid w:val="007B1786"/>
    <w:rsid w:val="007B31DF"/>
    <w:rsid w:val="007B68B2"/>
    <w:rsid w:val="007C04C5"/>
    <w:rsid w:val="007D2DDA"/>
    <w:rsid w:val="0084382B"/>
    <w:rsid w:val="008652C4"/>
    <w:rsid w:val="0087227E"/>
    <w:rsid w:val="00874CD8"/>
    <w:rsid w:val="00877772"/>
    <w:rsid w:val="00877A44"/>
    <w:rsid w:val="00894F88"/>
    <w:rsid w:val="008D0515"/>
    <w:rsid w:val="008D1B12"/>
    <w:rsid w:val="009065EA"/>
    <w:rsid w:val="00913C34"/>
    <w:rsid w:val="00917B48"/>
    <w:rsid w:val="009535CB"/>
    <w:rsid w:val="009550C0"/>
    <w:rsid w:val="0098315D"/>
    <w:rsid w:val="0098623C"/>
    <w:rsid w:val="0099267D"/>
    <w:rsid w:val="009A2DED"/>
    <w:rsid w:val="009B2FA7"/>
    <w:rsid w:val="009B4DE5"/>
    <w:rsid w:val="009C0C66"/>
    <w:rsid w:val="009C6D6C"/>
    <w:rsid w:val="009D7C6B"/>
    <w:rsid w:val="009F27C2"/>
    <w:rsid w:val="00A025AF"/>
    <w:rsid w:val="00A05949"/>
    <w:rsid w:val="00A15312"/>
    <w:rsid w:val="00A171EE"/>
    <w:rsid w:val="00A40404"/>
    <w:rsid w:val="00A466B7"/>
    <w:rsid w:val="00A47F91"/>
    <w:rsid w:val="00A56F37"/>
    <w:rsid w:val="00A6087D"/>
    <w:rsid w:val="00A6598B"/>
    <w:rsid w:val="00A65F1A"/>
    <w:rsid w:val="00A66F98"/>
    <w:rsid w:val="00A75691"/>
    <w:rsid w:val="00A824F8"/>
    <w:rsid w:val="00A915B8"/>
    <w:rsid w:val="00A93828"/>
    <w:rsid w:val="00AB14BF"/>
    <w:rsid w:val="00AB29B4"/>
    <w:rsid w:val="00AB545D"/>
    <w:rsid w:val="00AD3AC6"/>
    <w:rsid w:val="00AD46E8"/>
    <w:rsid w:val="00B0232B"/>
    <w:rsid w:val="00B209D0"/>
    <w:rsid w:val="00B573C9"/>
    <w:rsid w:val="00B6638F"/>
    <w:rsid w:val="00B96D74"/>
    <w:rsid w:val="00BB2C26"/>
    <w:rsid w:val="00BC17C0"/>
    <w:rsid w:val="00BD3E56"/>
    <w:rsid w:val="00BD7D48"/>
    <w:rsid w:val="00BE4993"/>
    <w:rsid w:val="00BF35A8"/>
    <w:rsid w:val="00BF6982"/>
    <w:rsid w:val="00C01B44"/>
    <w:rsid w:val="00C129FB"/>
    <w:rsid w:val="00C12F15"/>
    <w:rsid w:val="00C21FD6"/>
    <w:rsid w:val="00C244B2"/>
    <w:rsid w:val="00C32E67"/>
    <w:rsid w:val="00C33814"/>
    <w:rsid w:val="00C340C3"/>
    <w:rsid w:val="00C37A8F"/>
    <w:rsid w:val="00C571E8"/>
    <w:rsid w:val="00C778B3"/>
    <w:rsid w:val="00C8410E"/>
    <w:rsid w:val="00C879D1"/>
    <w:rsid w:val="00CB69AE"/>
    <w:rsid w:val="00CB7899"/>
    <w:rsid w:val="00CC0D01"/>
    <w:rsid w:val="00CC5F64"/>
    <w:rsid w:val="00CD2703"/>
    <w:rsid w:val="00CE5D1A"/>
    <w:rsid w:val="00CE74C2"/>
    <w:rsid w:val="00D05F71"/>
    <w:rsid w:val="00D16693"/>
    <w:rsid w:val="00D2115F"/>
    <w:rsid w:val="00D50CA6"/>
    <w:rsid w:val="00D64862"/>
    <w:rsid w:val="00D819DB"/>
    <w:rsid w:val="00D87071"/>
    <w:rsid w:val="00D9063A"/>
    <w:rsid w:val="00D938DF"/>
    <w:rsid w:val="00DB065C"/>
    <w:rsid w:val="00DB7D81"/>
    <w:rsid w:val="00DE3FEF"/>
    <w:rsid w:val="00DE7B69"/>
    <w:rsid w:val="00DF26E7"/>
    <w:rsid w:val="00DF4678"/>
    <w:rsid w:val="00DF65ED"/>
    <w:rsid w:val="00DF7C6F"/>
    <w:rsid w:val="00E03A12"/>
    <w:rsid w:val="00E04B89"/>
    <w:rsid w:val="00E05843"/>
    <w:rsid w:val="00E07AC2"/>
    <w:rsid w:val="00E20C92"/>
    <w:rsid w:val="00E4183D"/>
    <w:rsid w:val="00E4510E"/>
    <w:rsid w:val="00E47649"/>
    <w:rsid w:val="00E55774"/>
    <w:rsid w:val="00E615A7"/>
    <w:rsid w:val="00E867CB"/>
    <w:rsid w:val="00E96B7B"/>
    <w:rsid w:val="00E9716A"/>
    <w:rsid w:val="00EC265B"/>
    <w:rsid w:val="00EE59FC"/>
    <w:rsid w:val="00EF0025"/>
    <w:rsid w:val="00EF419F"/>
    <w:rsid w:val="00EF6BD3"/>
    <w:rsid w:val="00F01C6C"/>
    <w:rsid w:val="00F13D99"/>
    <w:rsid w:val="00F47FA2"/>
    <w:rsid w:val="00F50280"/>
    <w:rsid w:val="00F675F3"/>
    <w:rsid w:val="00F72686"/>
    <w:rsid w:val="00F748F3"/>
    <w:rsid w:val="00F74A1A"/>
    <w:rsid w:val="00F83520"/>
    <w:rsid w:val="00F95A35"/>
    <w:rsid w:val="00FC408F"/>
    <w:rsid w:val="00FC6B35"/>
    <w:rsid w:val="00FE4353"/>
    <w:rsid w:val="00FF1355"/>
    <w:rsid w:val="00FF4582"/>
    <w:rsid w:val="00FF7073"/>
    <w:rsid w:val="12AD1907"/>
    <w:rsid w:val="1568739D"/>
    <w:rsid w:val="1C71C044"/>
    <w:rsid w:val="659FA61C"/>
    <w:rsid w:val="67D9F37D"/>
    <w:rsid w:val="730D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08E9"/>
  <w15:docId w15:val="{0C7D4CEE-759A-4BE2-BD3E-6A175193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7"/>
      <w:ind w:left="112"/>
    </w:pPr>
  </w:style>
  <w:style w:type="paragraph" w:styleId="BalloonText">
    <w:name w:val="Balloon Text"/>
    <w:basedOn w:val="Normal"/>
    <w:link w:val="BalloonTextChar"/>
    <w:uiPriority w:val="99"/>
    <w:semiHidden/>
    <w:unhideWhenUsed/>
    <w:rsid w:val="006B2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0C"/>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6B240C"/>
    <w:rPr>
      <w:sz w:val="16"/>
      <w:szCs w:val="16"/>
    </w:rPr>
  </w:style>
  <w:style w:type="paragraph" w:styleId="CommentText">
    <w:name w:val="annotation text"/>
    <w:basedOn w:val="Normal"/>
    <w:link w:val="CommentTextChar"/>
    <w:uiPriority w:val="99"/>
    <w:unhideWhenUsed/>
    <w:rsid w:val="006B240C"/>
    <w:rPr>
      <w:sz w:val="20"/>
      <w:szCs w:val="20"/>
    </w:rPr>
  </w:style>
  <w:style w:type="character" w:customStyle="1" w:styleId="CommentTextChar">
    <w:name w:val="Comment Text Char"/>
    <w:basedOn w:val="DefaultParagraphFont"/>
    <w:link w:val="CommentText"/>
    <w:uiPriority w:val="99"/>
    <w:rsid w:val="006B240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B240C"/>
    <w:rPr>
      <w:b/>
      <w:bCs/>
    </w:rPr>
  </w:style>
  <w:style w:type="character" w:customStyle="1" w:styleId="CommentSubjectChar">
    <w:name w:val="Comment Subject Char"/>
    <w:basedOn w:val="CommentTextChar"/>
    <w:link w:val="CommentSubject"/>
    <w:uiPriority w:val="99"/>
    <w:semiHidden/>
    <w:rsid w:val="006B240C"/>
    <w:rPr>
      <w:rFonts w:ascii="Calibri" w:eastAsia="Calibri" w:hAnsi="Calibri" w:cs="Calibri"/>
      <w:b/>
      <w:bCs/>
      <w:sz w:val="20"/>
      <w:szCs w:val="20"/>
      <w:lang w:bidi="en-US"/>
    </w:rPr>
  </w:style>
  <w:style w:type="paragraph" w:styleId="Header">
    <w:name w:val="header"/>
    <w:basedOn w:val="Normal"/>
    <w:link w:val="HeaderChar"/>
    <w:uiPriority w:val="99"/>
    <w:unhideWhenUsed/>
    <w:rsid w:val="00913C34"/>
    <w:pPr>
      <w:tabs>
        <w:tab w:val="center" w:pos="4680"/>
        <w:tab w:val="right" w:pos="9360"/>
      </w:tabs>
    </w:pPr>
  </w:style>
  <w:style w:type="character" w:customStyle="1" w:styleId="HeaderChar">
    <w:name w:val="Header Char"/>
    <w:basedOn w:val="DefaultParagraphFont"/>
    <w:link w:val="Header"/>
    <w:uiPriority w:val="99"/>
    <w:rsid w:val="00913C34"/>
    <w:rPr>
      <w:rFonts w:ascii="Calibri" w:eastAsia="Calibri" w:hAnsi="Calibri" w:cs="Calibri"/>
      <w:lang w:bidi="en-US"/>
    </w:rPr>
  </w:style>
  <w:style w:type="paragraph" w:styleId="Footer">
    <w:name w:val="footer"/>
    <w:basedOn w:val="Normal"/>
    <w:link w:val="FooterChar"/>
    <w:uiPriority w:val="99"/>
    <w:unhideWhenUsed/>
    <w:rsid w:val="00913C34"/>
    <w:pPr>
      <w:tabs>
        <w:tab w:val="center" w:pos="4680"/>
        <w:tab w:val="right" w:pos="9360"/>
      </w:tabs>
    </w:pPr>
  </w:style>
  <w:style w:type="character" w:customStyle="1" w:styleId="FooterChar">
    <w:name w:val="Footer Char"/>
    <w:basedOn w:val="DefaultParagraphFont"/>
    <w:link w:val="Footer"/>
    <w:uiPriority w:val="99"/>
    <w:rsid w:val="00913C3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8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1085e6-e0d9-4c3a-bed4-ef9125166d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CD8B2F78FAB4BA4EAD775BF8EB614" ma:contentTypeVersion="14" ma:contentTypeDescription="Create a new document." ma:contentTypeScope="" ma:versionID="6ccf7084a5100f33b55cfc7de75f063e">
  <xsd:schema xmlns:xsd="http://www.w3.org/2001/XMLSchema" xmlns:xs="http://www.w3.org/2001/XMLSchema" xmlns:p="http://schemas.microsoft.com/office/2006/metadata/properties" xmlns:ns3="2a1085e6-e0d9-4c3a-bed4-ef9125166dec" xmlns:ns4="f195fd63-d204-489f-8f88-99fac33ca1a2" targetNamespace="http://schemas.microsoft.com/office/2006/metadata/properties" ma:root="true" ma:fieldsID="c9cb797249ed8df3ff2a5a6d0322c98c" ns3:_="" ns4:_="">
    <xsd:import namespace="2a1085e6-e0d9-4c3a-bed4-ef9125166dec"/>
    <xsd:import namespace="f195fd63-d204-489f-8f88-99fac33ca1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85e6-e0d9-4c3a-bed4-ef9125166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5fd63-d204-489f-8f88-99fac33ca1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79B01-5DA2-4233-92DA-D941BC017F81}">
  <ds:schemaRefs>
    <ds:schemaRef ds:uri="http://schemas.microsoft.com/office/2006/metadata/properties"/>
    <ds:schemaRef ds:uri="http://schemas.microsoft.com/office/infopath/2007/PartnerControls"/>
    <ds:schemaRef ds:uri="2a1085e6-e0d9-4c3a-bed4-ef9125166dec"/>
  </ds:schemaRefs>
</ds:datastoreItem>
</file>

<file path=customXml/itemProps2.xml><?xml version="1.0" encoding="utf-8"?>
<ds:datastoreItem xmlns:ds="http://schemas.openxmlformats.org/officeDocument/2006/customXml" ds:itemID="{E9B17E5C-C0D9-4A45-99FA-F92C6660EE71}">
  <ds:schemaRefs>
    <ds:schemaRef ds:uri="http://schemas.microsoft.com/sharepoint/v3/contenttype/forms"/>
  </ds:schemaRefs>
</ds:datastoreItem>
</file>

<file path=customXml/itemProps3.xml><?xml version="1.0" encoding="utf-8"?>
<ds:datastoreItem xmlns:ds="http://schemas.openxmlformats.org/officeDocument/2006/customXml" ds:itemID="{918A84F7-4FBF-4DDA-A964-6347E11A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85e6-e0d9-4c3a-bed4-ef9125166dec"/>
    <ds:schemaRef ds:uri="f195fd63-d204-489f-8f88-99fac33ca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675</Words>
  <Characters>3794</Characters>
  <Application>Microsoft Office Word</Application>
  <DocSecurity>0</DocSecurity>
  <Lines>114</Lines>
  <Paragraphs>70</Paragraphs>
  <ScaleCrop>false</ScaleCrop>
  <Company>UMSL</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Walker de Felix</dc:creator>
  <cp:keywords/>
  <cp:lastModifiedBy>Hall, Alice</cp:lastModifiedBy>
  <cp:revision>94</cp:revision>
  <cp:lastPrinted>2026-01-05T21:14:00Z</cp:lastPrinted>
  <dcterms:created xsi:type="dcterms:W3CDTF">2025-11-17T21:20:00Z</dcterms:created>
  <dcterms:modified xsi:type="dcterms:W3CDTF">2026-01-05T21:45:00Z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Acrobat PDFMaker 19 for Word</vt:lpwstr>
  </property>
  <property fmtid="{D5CDD505-2E9C-101B-9397-08002B2CF9AE}" pid="4" name="LastSaved">
    <vt:filetime>2019-07-24T00:00:00Z</vt:filetime>
  </property>
  <property fmtid="{D5CDD505-2E9C-101B-9397-08002B2CF9AE}" pid="5" name="ContentTypeId">
    <vt:lpwstr>0x0101006EDCD8B2F78FAB4BA4EAD775BF8EB614</vt:lpwstr>
  </property>
</Properties>
</file>