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8" w:rsidRDefault="000410F8" w:rsidP="000410F8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0410F8" w:rsidRPr="0074559B" w:rsidTr="005630F2">
        <w:tc>
          <w:tcPr>
            <w:tcW w:w="100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0012A3">
            <w:pPr>
              <w:spacing w:before="80" w:after="80"/>
              <w:rPr>
                <w:rFonts w:cs="Arial"/>
                <w:b/>
                <w:sz w:val="36"/>
                <w:szCs w:val="36"/>
              </w:rPr>
            </w:pPr>
            <w:r w:rsidRPr="0074559B">
              <w:rPr>
                <w:rFonts w:cs="Arial"/>
                <w:b/>
                <w:sz w:val="36"/>
                <w:szCs w:val="36"/>
              </w:rPr>
              <w:t xml:space="preserve">Module </w:t>
            </w:r>
            <w:r w:rsidR="00F75E2B">
              <w:rPr>
                <w:rFonts w:cs="Arial"/>
                <w:b/>
                <w:sz w:val="36"/>
                <w:szCs w:val="36"/>
              </w:rPr>
              <w:t>9</w:t>
            </w:r>
            <w:bookmarkStart w:id="0" w:name="_GoBack"/>
            <w:bookmarkEnd w:id="0"/>
            <w:r w:rsidRPr="0074559B">
              <w:rPr>
                <w:rFonts w:cs="Arial"/>
                <w:b/>
                <w:sz w:val="36"/>
                <w:szCs w:val="36"/>
              </w:rPr>
              <w:t>:  Radioisotope Use in Live Animals</w:t>
            </w: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  <w:b/>
          <w:szCs w:val="22"/>
        </w:rPr>
      </w:pPr>
      <w:r w:rsidRPr="00A0780A">
        <w:rPr>
          <w:rFonts w:cs="Arial"/>
          <w:b/>
          <w:szCs w:val="22"/>
        </w:rPr>
        <w:t xml:space="preserve">Instructions:  </w:t>
      </w:r>
    </w:p>
    <w:p w:rsidR="000410F8" w:rsidRPr="00C43BB9" w:rsidRDefault="000410F8" w:rsidP="000410F8">
      <w:pPr>
        <w:widowControl w:val="0"/>
        <w:numPr>
          <w:ilvl w:val="0"/>
          <w:numId w:val="2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>Please complete all sections of this document as instructed</w:t>
      </w:r>
      <w:r>
        <w:rPr>
          <w:rFonts w:cs="Arial"/>
          <w:bCs/>
          <w:iCs/>
          <w:szCs w:val="22"/>
        </w:rPr>
        <w:t>.</w:t>
      </w:r>
    </w:p>
    <w:p w:rsidR="000410F8" w:rsidRPr="00C43BB9" w:rsidRDefault="000410F8" w:rsidP="000410F8">
      <w:pPr>
        <w:widowControl w:val="0"/>
        <w:numPr>
          <w:ilvl w:val="0"/>
          <w:numId w:val="2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 xml:space="preserve">A separate Module </w:t>
      </w:r>
      <w:r w:rsidR="000B00B9">
        <w:rPr>
          <w:rFonts w:cs="Arial"/>
          <w:bCs/>
          <w:iCs/>
          <w:szCs w:val="22"/>
        </w:rPr>
        <w:t>10</w:t>
      </w:r>
      <w:r w:rsidRPr="00C43BB9">
        <w:rPr>
          <w:rFonts w:cs="Arial"/>
          <w:bCs/>
          <w:iCs/>
          <w:szCs w:val="22"/>
        </w:rPr>
        <w:t xml:space="preserve"> is needed for </w:t>
      </w:r>
      <w:r w:rsidRPr="00192F24">
        <w:rPr>
          <w:rFonts w:cs="Arial"/>
          <w:b/>
          <w:bCs/>
          <w:iCs/>
          <w:szCs w:val="22"/>
        </w:rPr>
        <w:t>each isotope</w:t>
      </w:r>
      <w:r>
        <w:rPr>
          <w:rFonts w:cs="Arial"/>
          <w:bCs/>
          <w:iCs/>
          <w:szCs w:val="22"/>
        </w:rPr>
        <w:t xml:space="preserve"> due to unique safety considerations</w:t>
      </w:r>
      <w:r w:rsidRPr="00C43BB9">
        <w:rPr>
          <w:rFonts w:cs="Arial"/>
          <w:bCs/>
          <w:iCs/>
          <w:szCs w:val="22"/>
        </w:rPr>
        <w:t>.</w:t>
      </w:r>
    </w:p>
    <w:p w:rsidR="000410F8" w:rsidRPr="000B00B9" w:rsidRDefault="000410F8" w:rsidP="000410F8">
      <w:pPr>
        <w:widowControl w:val="0"/>
        <w:numPr>
          <w:ilvl w:val="0"/>
          <w:numId w:val="2"/>
        </w:numPr>
        <w:rPr>
          <w:rFonts w:cs="Arial"/>
          <w:bCs/>
          <w:iCs/>
          <w:szCs w:val="22"/>
        </w:rPr>
      </w:pPr>
      <w:r w:rsidRPr="000B00B9">
        <w:rPr>
          <w:rFonts w:cs="Arial"/>
          <w:bCs/>
          <w:iCs/>
          <w:szCs w:val="22"/>
        </w:rPr>
        <w:t xml:space="preserve">Submit the completed Module </w:t>
      </w:r>
      <w:r w:rsidR="000B00B9" w:rsidRPr="000B00B9">
        <w:rPr>
          <w:rFonts w:cs="Arial"/>
          <w:bCs/>
          <w:iCs/>
          <w:szCs w:val="22"/>
        </w:rPr>
        <w:t>10</w:t>
      </w:r>
      <w:r w:rsidRPr="000B00B9">
        <w:rPr>
          <w:rFonts w:cs="Arial"/>
          <w:bCs/>
          <w:iCs/>
          <w:szCs w:val="22"/>
        </w:rPr>
        <w:t xml:space="preserve"> (signed) to the </w:t>
      </w:r>
      <w:r w:rsidR="000B00B9" w:rsidRPr="000B00B9">
        <w:rPr>
          <w:rFonts w:cs="Arial"/>
          <w:bCs/>
          <w:iCs/>
          <w:szCs w:val="22"/>
        </w:rPr>
        <w:t xml:space="preserve">IACUC Office. </w:t>
      </w:r>
      <w:r w:rsidRPr="000B00B9">
        <w:rPr>
          <w:rFonts w:cs="Arial"/>
          <w:bCs/>
          <w:iCs/>
          <w:szCs w:val="22"/>
        </w:rPr>
        <w:t xml:space="preserve"> It is acceptable to submit the IACUC protocol (with Module </w:t>
      </w:r>
      <w:r w:rsidR="000B00B9">
        <w:rPr>
          <w:rFonts w:cs="Arial"/>
          <w:bCs/>
          <w:iCs/>
          <w:szCs w:val="22"/>
        </w:rPr>
        <w:t>10</w:t>
      </w:r>
      <w:r w:rsidRPr="000B00B9">
        <w:rPr>
          <w:rFonts w:cs="Arial"/>
          <w:bCs/>
          <w:iCs/>
          <w:szCs w:val="22"/>
        </w:rPr>
        <w:t xml:space="preserve"> included) in advance of safety review and approval.  However, the IACUC will not grant approval for the use of radioisotopes in animals until safety approval is confirmed.</w:t>
      </w: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A.  Project Information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Principal Investigator (PI) for Animal Project: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Faculty/Staff Title: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Dept./Section/Company: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E-mail address: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Office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Fax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Lab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Emergency contact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Personnel using hazardous chemicals in live animals: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Animal Study Title: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B.  Isotope Information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Radioisotope </w:t>
            </w:r>
          </w:p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(e.g.,  </w:t>
            </w:r>
            <w:r w:rsidRPr="0074559B">
              <w:rPr>
                <w:rFonts w:cs="Arial"/>
                <w:vertAlign w:val="superscript"/>
              </w:rPr>
              <w:t>3</w:t>
            </w:r>
            <w:r w:rsidRPr="0074559B">
              <w:rPr>
                <w:rFonts w:cs="Arial"/>
              </w:rPr>
              <w:t>H or tritium):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Type of radiation hazard (e.g., alpha, beta, gamma,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Nature of radioisotope-containing compound to be administered to animal(s):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Radioisotope half-life: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Radioisotope source: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Quantity of radioisotope to be purchased: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Location of radioisotope storage (room number):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lastRenderedPageBreak/>
              <w:t>Storage precautions to be applied: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Site where radioisotope will be prepared for animal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in preparing radioisotope for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for radioisotope transport within institution: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C.  Radioisotope Dosing Procedures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Animal species to be dosed: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Number of animals to be dosed with radioisotope: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Route of administration (e.g., PO, </w:t>
            </w:r>
            <w:smartTag w:uri="urn:schemas-microsoft-com:office:smarttags" w:element="place">
              <w:smartTag w:uri="urn:schemas-microsoft-com:office:smarttags" w:element="City">
                <w:r w:rsidRPr="0074559B">
                  <w:rPr>
                    <w:rFonts w:cs="Arial"/>
                  </w:rPr>
                  <w:t>IP</w:t>
                </w:r>
              </w:smartTag>
              <w:r w:rsidRPr="0074559B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74559B">
                  <w:rPr>
                    <w:rFonts w:cs="Arial"/>
                  </w:rPr>
                  <w:t>SC</w:t>
                </w:r>
              </w:smartTag>
            </w:smartTag>
            <w:r w:rsidRPr="0074559B">
              <w:rPr>
                <w:rFonts w:cs="Arial"/>
              </w:rPr>
              <w:t>, IV,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Amount of radioisotope per dose (in </w:t>
            </w:r>
            <w:proofErr w:type="spellStart"/>
            <w:r w:rsidRPr="0074559B">
              <w:rPr>
                <w:rFonts w:cs="Arial"/>
              </w:rPr>
              <w:t>microcuries</w:t>
            </w:r>
            <w:proofErr w:type="spellEnd"/>
            <w:r w:rsidRPr="0074559B">
              <w:rPr>
                <w:rFonts w:cs="Arial"/>
              </w:rPr>
              <w:t>)::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Number of doses administered per animal: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Dosing frequency: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Work site (room #) where animals will be dosed: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during animal dosing (e.g., equipment, garb):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Disposal method/site for items used during dosing (e.g., syringes, needles,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Dosing site cleanup procedures: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Fate of unused radioisotope stocks: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Half-life of radioisotope in animal after dosing: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D.  Animal Care following Radioisotope Dosing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Proposed site (room #) of animal housing after dosing: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Period (maximum duration) animal(s) will be kept following radioisotope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Type of caging to be used for animal housing after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Special care considerations for animal(s) after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Procedures performed on live animal(s) after dosing (e.g., blood sampling, tumor measurement, fecal collection,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Safety precautions to be taken during above animal procedures: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Anticipated effect of radioisotope on animal(s):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Default="000410F8" w:rsidP="000410F8">
      <w:pPr>
        <w:spacing w:before="40" w:after="40"/>
        <w:rPr>
          <w:rFonts w:cs="Arial"/>
        </w:rPr>
      </w:pPr>
    </w:p>
    <w:p w:rsidR="000410F8" w:rsidRPr="00A0780A" w:rsidRDefault="000410F8" w:rsidP="000410F8">
      <w:pPr>
        <w:spacing w:before="40" w:after="40"/>
        <w:rPr>
          <w:rFonts w:cs="Arial"/>
        </w:rPr>
      </w:pPr>
    </w:p>
    <w:tbl>
      <w:tblPr>
        <w:tblW w:w="998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720"/>
        <w:gridCol w:w="8235"/>
      </w:tblGrid>
      <w:tr w:rsidR="000410F8" w:rsidRPr="0074559B" w:rsidTr="005630F2">
        <w:tc>
          <w:tcPr>
            <w:tcW w:w="9984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  <w:szCs w:val="22"/>
              </w:rPr>
            </w:pPr>
            <w:r w:rsidRPr="0074559B">
              <w:rPr>
                <w:rFonts w:cs="Arial"/>
                <w:b/>
                <w:bCs/>
                <w:sz w:val="28"/>
              </w:rPr>
              <w:t>E.  Radioisotope Metabolism and Excretion</w:t>
            </w:r>
          </w:p>
        </w:tc>
      </w:tr>
      <w:tr w:rsidR="000410F8" w:rsidRPr="0074559B" w:rsidTr="005630F2">
        <w:trPr>
          <w:trHeight w:val="958"/>
        </w:trPr>
        <w:tc>
          <w:tcPr>
            <w:tcW w:w="9984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120" w:after="120"/>
              <w:ind w:left="204"/>
              <w:rPr>
                <w:rFonts w:cs="Arial"/>
                <w:bCs/>
              </w:rPr>
            </w:pPr>
            <w:r w:rsidRPr="0074559B">
              <w:rPr>
                <w:rFonts w:cs="Arial"/>
                <w:bCs/>
              </w:rPr>
              <w:t>Will the metabolism &amp;/or excretion of the radioisotope (or its metabolites) pose a risk to persons handling or caring for the animal(s) after dosing?</w:t>
            </w:r>
          </w:p>
          <w:p w:rsidR="000410F8" w:rsidRPr="0074559B" w:rsidRDefault="000410F8" w:rsidP="005630F2">
            <w:pPr>
              <w:spacing w:before="120" w:after="120"/>
              <w:ind w:left="204"/>
              <w:rPr>
                <w:rFonts w:cs="Arial"/>
                <w:bCs/>
                <w:sz w:val="20"/>
              </w:rPr>
            </w:pPr>
            <w:r w:rsidRPr="0074559B">
              <w:rPr>
                <w:rFonts w:cs="Arial"/>
                <w:bCs/>
                <w:sz w:val="20"/>
              </w:rPr>
              <w:t xml:space="preserve">(insert </w:t>
            </w:r>
            <w:r w:rsidRPr="0074559B">
              <w:rPr>
                <w:rFonts w:cs="Arial"/>
                <w:b/>
                <w:sz w:val="28"/>
                <w:szCs w:val="28"/>
              </w:rPr>
              <w:t>X</w:t>
            </w:r>
            <w:r w:rsidRPr="0074559B">
              <w:rPr>
                <w:rFonts w:cs="Arial"/>
                <w:bCs/>
                <w:sz w:val="20"/>
              </w:rPr>
              <w:t xml:space="preserve"> in appropriate box below)</w:t>
            </w:r>
          </w:p>
        </w:tc>
      </w:tr>
      <w:tr w:rsidR="000410F8" w:rsidRPr="0074559B" w:rsidTr="005630F2">
        <w:trPr>
          <w:trHeight w:val="368"/>
        </w:trPr>
        <w:tc>
          <w:tcPr>
            <w:tcW w:w="1029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No</w:t>
            </w:r>
          </w:p>
        </w:tc>
        <w:tc>
          <w:tcPr>
            <w:tcW w:w="8235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80" w:after="80"/>
              <w:rPr>
                <w:rFonts w:cs="Arial"/>
                <w:szCs w:val="22"/>
              </w:rPr>
            </w:pPr>
            <w:r w:rsidRPr="0074559B">
              <w:rPr>
                <w:rFonts w:cs="Arial"/>
                <w:szCs w:val="22"/>
              </w:rPr>
              <w:t>If “</w:t>
            </w:r>
            <w:r w:rsidRPr="0074559B">
              <w:rPr>
                <w:rFonts w:cs="Arial"/>
                <w:b/>
                <w:szCs w:val="22"/>
              </w:rPr>
              <w:t>yes</w:t>
            </w:r>
            <w:r w:rsidRPr="0074559B">
              <w:rPr>
                <w:rFonts w:cs="Arial"/>
                <w:szCs w:val="22"/>
              </w:rPr>
              <w:t>,” please complete the remainder of Section E.</w:t>
            </w:r>
          </w:p>
          <w:p w:rsidR="000410F8" w:rsidRPr="0074559B" w:rsidRDefault="000410F8" w:rsidP="005630F2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szCs w:val="22"/>
              </w:rPr>
              <w:t>If “</w:t>
            </w:r>
            <w:r w:rsidRPr="0074559B">
              <w:rPr>
                <w:rFonts w:cs="Arial"/>
                <w:b/>
                <w:szCs w:val="22"/>
              </w:rPr>
              <w:t>no</w:t>
            </w:r>
            <w:r w:rsidRPr="0074559B">
              <w:rPr>
                <w:rFonts w:cs="Arial"/>
                <w:szCs w:val="22"/>
              </w:rPr>
              <w:t>,” please proceed to Section F.</w:t>
            </w:r>
          </w:p>
        </w:tc>
      </w:tr>
      <w:tr w:rsidR="000410F8" w:rsidRPr="0074559B" w:rsidTr="005630F2">
        <w:trPr>
          <w:trHeight w:val="350"/>
        </w:trPr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235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410F8" w:rsidRPr="0074559B" w:rsidTr="005630F2">
        <w:trPr>
          <w:trHeight w:val="609"/>
        </w:trPr>
        <w:tc>
          <w:tcPr>
            <w:tcW w:w="9984" w:type="dxa"/>
            <w:gridSpan w:val="3"/>
            <w:tcBorders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Specify the </w:t>
            </w:r>
            <w:r w:rsidRPr="0074559B">
              <w:rPr>
                <w:rFonts w:cs="Arial"/>
                <w:b/>
              </w:rPr>
              <w:t>names</w:t>
            </w:r>
            <w:r w:rsidRPr="0074559B">
              <w:rPr>
                <w:rFonts w:cs="Arial"/>
              </w:rPr>
              <w:t xml:space="preserve"> and anticipated </w:t>
            </w:r>
            <w:r w:rsidRPr="0074559B">
              <w:rPr>
                <w:rFonts w:cs="Arial"/>
                <w:b/>
              </w:rPr>
              <w:t>quantities</w:t>
            </w:r>
            <w:r w:rsidRPr="0074559B">
              <w:rPr>
                <w:rFonts w:cs="Arial"/>
              </w:rPr>
              <w:t xml:space="preserve"> of potentially hazardous radioisotope products from animals following dosing:</w:t>
            </w:r>
          </w:p>
        </w:tc>
      </w:tr>
      <w:tr w:rsidR="000410F8" w:rsidRPr="0074559B" w:rsidTr="005630F2">
        <w:trPr>
          <w:trHeight w:val="70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Specify the </w:t>
            </w:r>
            <w:r w:rsidRPr="0074559B">
              <w:rPr>
                <w:rFonts w:cs="Arial"/>
                <w:b/>
                <w:bCs/>
              </w:rPr>
              <w:t>route(s)</w:t>
            </w:r>
            <w:r w:rsidRPr="0074559B">
              <w:rPr>
                <w:rFonts w:cs="Arial"/>
              </w:rPr>
              <w:t xml:space="preserve"> of hazardous radioisotope excretion from the animal (e.g., urine, feces, expired air, saliva, etc.):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Indicate the </w:t>
            </w:r>
            <w:r w:rsidRPr="0074559B">
              <w:rPr>
                <w:rFonts w:cs="Arial"/>
                <w:b/>
                <w:bCs/>
              </w:rPr>
              <w:t xml:space="preserve">safety precautions </w:t>
            </w:r>
            <w:r w:rsidRPr="0074559B">
              <w:rPr>
                <w:rFonts w:cs="Arial"/>
              </w:rPr>
              <w:t>that are warranted for the handling of dosed animals and their waste materials (used bedding, dirty cages, etc.):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Specify the person(s) who will perform each of the potentially hazardous procedures listed above: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Outline </w:t>
            </w:r>
            <w:r w:rsidRPr="0074559B">
              <w:rPr>
                <w:rFonts w:cs="Arial"/>
                <w:b/>
              </w:rPr>
              <w:t>emergency procedures</w:t>
            </w:r>
            <w:r w:rsidRPr="0074559B">
              <w:rPr>
                <w:rFonts w:cs="Arial"/>
              </w:rPr>
              <w:t xml:space="preserve"> in the event of overt personnel exposure (inhalation, ingestion or inoculation), a spill, or environmental contamination:</w:t>
            </w:r>
          </w:p>
        </w:tc>
      </w:tr>
      <w:tr w:rsidR="000410F8" w:rsidRPr="0074559B" w:rsidTr="005630F2">
        <w:trPr>
          <w:trHeight w:val="670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F.  End-of-Study Considerations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used animal </w:t>
            </w:r>
            <w:r w:rsidRPr="0074559B">
              <w:rPr>
                <w:rFonts w:cs="Arial"/>
                <w:b/>
              </w:rPr>
              <w:t>bedding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used animal </w:t>
            </w:r>
            <w:r w:rsidRPr="0074559B">
              <w:rPr>
                <w:rFonts w:cs="Arial"/>
                <w:b/>
              </w:rPr>
              <w:t>caging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Site where animal(s) will undergo </w:t>
            </w:r>
            <w:r w:rsidRPr="0074559B">
              <w:rPr>
                <w:rFonts w:cs="Arial"/>
                <w:b/>
              </w:rPr>
              <w:t>euthanasia</w:t>
            </w:r>
            <w:r w:rsidRPr="0074559B">
              <w:rPr>
                <w:rFonts w:cs="Arial"/>
              </w:rPr>
              <w:t xml:space="preserve"> at end of study: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Animal </w:t>
            </w:r>
            <w:r w:rsidRPr="0074559B">
              <w:rPr>
                <w:rFonts w:cs="Arial"/>
                <w:b/>
              </w:rPr>
              <w:t>procedures</w:t>
            </w:r>
            <w:r w:rsidRPr="0074559B">
              <w:rPr>
                <w:rFonts w:cs="Arial"/>
              </w:rPr>
              <w:t xml:space="preserve"> performed in association with euthanasia (e.g., blood collection,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animal </w:t>
            </w:r>
            <w:r w:rsidRPr="0074559B">
              <w:rPr>
                <w:rFonts w:cs="Arial"/>
                <w:b/>
              </w:rPr>
              <w:t>carcass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DA6B7A" w:rsidRDefault="00DA6B7A"/>
    <w:sectPr w:rsidR="00DA6B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06" w:rsidRDefault="00AB0806" w:rsidP="000410F8">
      <w:r>
        <w:separator/>
      </w:r>
    </w:p>
  </w:endnote>
  <w:endnote w:type="continuationSeparator" w:id="0">
    <w:p w:rsidR="00AB0806" w:rsidRDefault="00AB0806" w:rsidP="000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F8" w:rsidRPr="000410F8" w:rsidRDefault="00F75E2B">
    <w:pPr>
      <w:pStyle w:val="Footer"/>
      <w:rPr>
        <w:sz w:val="20"/>
      </w:rPr>
    </w:pPr>
    <w:r>
      <w:rPr>
        <w:sz w:val="20"/>
      </w:rPr>
      <w:t>Radioisotope Module</w:t>
    </w:r>
    <w:r w:rsidR="000410F8" w:rsidRPr="00006404">
      <w:rPr>
        <w:sz w:val="20"/>
      </w:rPr>
      <w:tab/>
    </w:r>
    <w:r w:rsidR="000410F8">
      <w:rPr>
        <w:sz w:val="20"/>
      </w:rPr>
      <w:tab/>
    </w:r>
    <w:r w:rsidR="000410F8" w:rsidRPr="00006404">
      <w:rPr>
        <w:sz w:val="20"/>
      </w:rPr>
      <w:t xml:space="preserve">page </w:t>
    </w:r>
    <w:r w:rsidR="000410F8" w:rsidRPr="00006404">
      <w:rPr>
        <w:rStyle w:val="PageNumber"/>
        <w:sz w:val="20"/>
      </w:rPr>
      <w:fldChar w:fldCharType="begin"/>
    </w:r>
    <w:r w:rsidR="000410F8" w:rsidRPr="00006404">
      <w:rPr>
        <w:rStyle w:val="PageNumber"/>
        <w:sz w:val="20"/>
      </w:rPr>
      <w:instrText xml:space="preserve"> PAGE </w:instrText>
    </w:r>
    <w:r w:rsidR="000410F8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0410F8" w:rsidRPr="00006404">
      <w:rPr>
        <w:rStyle w:val="PageNumber"/>
        <w:sz w:val="20"/>
      </w:rPr>
      <w:fldChar w:fldCharType="end"/>
    </w:r>
    <w:r w:rsidR="000410F8" w:rsidRPr="00006404">
      <w:rPr>
        <w:rStyle w:val="PageNumber"/>
        <w:sz w:val="20"/>
      </w:rPr>
      <w:t xml:space="preserve"> of </w:t>
    </w:r>
    <w:r w:rsidR="000410F8" w:rsidRPr="00006404">
      <w:rPr>
        <w:rStyle w:val="PageNumber"/>
        <w:sz w:val="20"/>
      </w:rPr>
      <w:fldChar w:fldCharType="begin"/>
    </w:r>
    <w:r w:rsidR="000410F8" w:rsidRPr="00006404">
      <w:rPr>
        <w:rStyle w:val="PageNumber"/>
        <w:sz w:val="20"/>
      </w:rPr>
      <w:instrText xml:space="preserve"> NUMPAGES </w:instrText>
    </w:r>
    <w:r w:rsidR="000410F8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="000410F8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06" w:rsidRDefault="00AB0806" w:rsidP="000410F8">
      <w:r>
        <w:separator/>
      </w:r>
    </w:p>
  </w:footnote>
  <w:footnote w:type="continuationSeparator" w:id="0">
    <w:p w:rsidR="00AB0806" w:rsidRDefault="00AB0806" w:rsidP="000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30F"/>
    <w:multiLevelType w:val="hybridMultilevel"/>
    <w:tmpl w:val="90B8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232"/>
    <w:multiLevelType w:val="hybridMultilevel"/>
    <w:tmpl w:val="9890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1AC3"/>
    <w:multiLevelType w:val="hybridMultilevel"/>
    <w:tmpl w:val="9DA8CB9C"/>
    <w:lvl w:ilvl="0" w:tplc="0C78B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65986"/>
    <w:multiLevelType w:val="hybridMultilevel"/>
    <w:tmpl w:val="263C1104"/>
    <w:lvl w:ilvl="0" w:tplc="84BA666E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8"/>
    <w:rsid w:val="000012A3"/>
    <w:rsid w:val="000410F8"/>
    <w:rsid w:val="000B00B9"/>
    <w:rsid w:val="00AB0806"/>
    <w:rsid w:val="00DA6B7A"/>
    <w:rsid w:val="00F50950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2016-12-20T14:57:00Z</dcterms:created>
  <dcterms:modified xsi:type="dcterms:W3CDTF">2016-12-20T14:57:00Z</dcterms:modified>
</cp:coreProperties>
</file>