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6" w:rsidRPr="00FB1E8F" w:rsidRDefault="00C43C16" w:rsidP="00C43C16">
      <w:pPr>
        <w:rPr>
          <w:rFonts w:cs="Arial"/>
          <w:szCs w:val="22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C43C16" w:rsidRPr="00FB1E8F" w:rsidTr="005630F2">
        <w:tc>
          <w:tcPr>
            <w:tcW w:w="10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7144AB">
            <w:pPr>
              <w:spacing w:before="120" w:after="120"/>
              <w:ind w:left="3606" w:hanging="3606"/>
              <w:rPr>
                <w:rFonts w:cs="Arial"/>
                <w:b/>
                <w:sz w:val="40"/>
                <w:szCs w:val="40"/>
              </w:rPr>
            </w:pPr>
            <w:r w:rsidRPr="00FB1E8F">
              <w:rPr>
                <w:rFonts w:cs="Arial"/>
                <w:b/>
                <w:bCs/>
                <w:sz w:val="40"/>
              </w:rPr>
              <w:t xml:space="preserve">IACUC Module </w:t>
            </w:r>
            <w:r w:rsidR="002B0864">
              <w:rPr>
                <w:rFonts w:cs="Arial"/>
                <w:b/>
                <w:bCs/>
                <w:sz w:val="40"/>
              </w:rPr>
              <w:t>6</w:t>
            </w:r>
            <w:r w:rsidRPr="00FB1E8F">
              <w:rPr>
                <w:rFonts w:cs="Arial"/>
                <w:b/>
                <w:bCs/>
                <w:sz w:val="40"/>
              </w:rPr>
              <w:t>:  Use of Non-pharmaceutical-grade substances in  live a</w:t>
            </w:r>
            <w:r w:rsidRPr="00FB1E8F">
              <w:rPr>
                <w:rFonts w:cs="Arial"/>
                <w:b/>
                <w:sz w:val="40"/>
                <w:szCs w:val="40"/>
              </w:rPr>
              <w:t xml:space="preserve">nimals </w:t>
            </w:r>
          </w:p>
        </w:tc>
      </w:tr>
    </w:tbl>
    <w:p w:rsidR="00C43C16" w:rsidRPr="00FB1E8F" w:rsidRDefault="00C43C16" w:rsidP="00C43C16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cs="Arial"/>
        </w:rPr>
      </w:pPr>
      <w:r w:rsidRPr="00FB1E8F">
        <w:rPr>
          <w:rFonts w:cs="Arial"/>
        </w:rPr>
        <w:t xml:space="preserve">The USDA (Policy #3) and The Guide (8th Edition) require the use pharmaceutical-grade substances (medications, experimental compounds, diluents, and extenders) whenever they are available, even in acute procedures.  Pharmaceutical-grade compounds are those with US Pharmacopeia (USP) or equivalent labeling.  See the </w:t>
      </w:r>
      <w:r w:rsidRPr="00FB1E8F">
        <w:rPr>
          <w:rFonts w:cs="Arial"/>
          <w:b/>
        </w:rPr>
        <w:t>I</w:t>
      </w:r>
      <w:r w:rsidR="002B0864">
        <w:rPr>
          <w:rFonts w:cs="Arial"/>
          <w:b/>
        </w:rPr>
        <w:t>A</w:t>
      </w:r>
      <w:bookmarkStart w:id="0" w:name="_GoBack"/>
      <w:bookmarkEnd w:id="0"/>
      <w:r w:rsidR="002B0864">
        <w:rPr>
          <w:rFonts w:cs="Arial"/>
          <w:b/>
        </w:rPr>
        <w:t>CUC</w:t>
      </w:r>
      <w:r w:rsidRPr="00FB1E8F">
        <w:rPr>
          <w:rFonts w:cs="Arial"/>
          <w:b/>
        </w:rPr>
        <w:t xml:space="preserve"> Policy</w:t>
      </w:r>
      <w:r w:rsidRPr="00FB1E8F">
        <w:rPr>
          <w:rFonts w:cs="Arial"/>
        </w:rPr>
        <w:t xml:space="preserve"> on Non-Pharmaceutical-Grade Substance Use for details.</w:t>
      </w:r>
    </w:p>
    <w:p w:rsidR="00C43C16" w:rsidRPr="00FB1E8F" w:rsidRDefault="00C43C16" w:rsidP="00C43C16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cs="Arial"/>
        </w:rPr>
      </w:pPr>
      <w:r w:rsidRPr="00FB1E8F">
        <w:rPr>
          <w:rFonts w:cs="Arial"/>
        </w:rPr>
        <w:t xml:space="preserve">Non-pharmaceutical-grade chemical compounds may be used in animals </w:t>
      </w:r>
      <w:r w:rsidRPr="00FB1E8F">
        <w:rPr>
          <w:rFonts w:cs="Arial"/>
          <w:b/>
        </w:rPr>
        <w:t>only</w:t>
      </w:r>
      <w:r w:rsidRPr="00FB1E8F">
        <w:rPr>
          <w:rFonts w:cs="Arial"/>
        </w:rPr>
        <w:t xml:space="preserve"> after specific review and approval by the IACUC for reasons such as </w:t>
      </w:r>
      <w:r w:rsidRPr="00FB1E8F">
        <w:rPr>
          <w:rFonts w:cs="Arial"/>
          <w:b/>
        </w:rPr>
        <w:t>scientific necessity</w:t>
      </w:r>
      <w:r w:rsidRPr="00FB1E8F">
        <w:rPr>
          <w:rFonts w:cs="Arial"/>
        </w:rPr>
        <w:t xml:space="preserve"> or </w:t>
      </w:r>
      <w:r w:rsidRPr="00FB1E8F">
        <w:rPr>
          <w:rFonts w:cs="Arial"/>
          <w:b/>
        </w:rPr>
        <w:t>non-availability of an acceptable USP</w:t>
      </w:r>
      <w:r w:rsidRPr="00FB1E8F">
        <w:rPr>
          <w:rFonts w:cs="Arial"/>
        </w:rPr>
        <w:t xml:space="preserve"> veterinary or human pharmaceutical-grade product.  Cost savings is not a justification for using non-pharmaceutical-grade compounds (exceptions for extraordinary costs of substances may be considered).</w:t>
      </w:r>
    </w:p>
    <w:p w:rsidR="00C43C16" w:rsidRPr="00FB1E8F" w:rsidRDefault="00C43C16" w:rsidP="00C43C16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cs="Arial"/>
        </w:rPr>
      </w:pPr>
      <w:r w:rsidRPr="00FB1E8F">
        <w:rPr>
          <w:rFonts w:cs="Arial"/>
        </w:rPr>
        <w:t xml:space="preserve">The Principal Investigator needs to consider the following attributes of the proposed use of non-pharmaceutical-grade compounds in live animals:  grade, purity, sterility, pH, </w:t>
      </w:r>
      <w:proofErr w:type="spellStart"/>
      <w:r w:rsidRPr="00FB1E8F">
        <w:rPr>
          <w:rFonts w:cs="Arial"/>
        </w:rPr>
        <w:t>pyrogenicity</w:t>
      </w:r>
      <w:proofErr w:type="spellEnd"/>
      <w:r w:rsidRPr="00FB1E8F">
        <w:rPr>
          <w:rFonts w:cs="Arial"/>
        </w:rPr>
        <w:t>, osmolality, stability, site and route of administration, formulation, compatibility, and pharmacokinetics.  A plan for controlling these variables needs to be presented to the IACUC for their consideration.</w:t>
      </w:r>
    </w:p>
    <w:p w:rsidR="00C43C16" w:rsidRPr="00FB1E8F" w:rsidRDefault="00C43C16" w:rsidP="00C43C16">
      <w:pPr>
        <w:numPr>
          <w:ilvl w:val="0"/>
          <w:numId w:val="1"/>
        </w:numPr>
        <w:autoSpaceDE w:val="0"/>
        <w:autoSpaceDN w:val="0"/>
        <w:adjustRightInd w:val="0"/>
        <w:spacing w:before="80" w:after="80"/>
        <w:rPr>
          <w:rFonts w:cs="Arial"/>
        </w:rPr>
      </w:pPr>
      <w:r w:rsidRPr="00FB1E8F">
        <w:rPr>
          <w:rFonts w:cs="Arial"/>
        </w:rPr>
        <w:t xml:space="preserve">When determining whether to approve the use of a non-pharmaceutical-grade substance, the IACUC will place special emphasis on animal welfare and scientific issues relating to the proposed use. </w:t>
      </w:r>
    </w:p>
    <w:p w:rsidR="00C43C16" w:rsidRPr="00FB1E8F" w:rsidRDefault="00C43C16" w:rsidP="00C43C16">
      <w:pPr>
        <w:spacing w:before="80" w:after="80"/>
        <w:rPr>
          <w:rFonts w:cs="Arial"/>
        </w:rPr>
      </w:pPr>
    </w:p>
    <w:tbl>
      <w:tblPr>
        <w:tblW w:w="1021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14"/>
        <w:gridCol w:w="2106"/>
        <w:gridCol w:w="5928"/>
        <w:gridCol w:w="156"/>
      </w:tblGrid>
      <w:tr w:rsidR="00C43C16" w:rsidRPr="00FB1E8F" w:rsidTr="005630F2">
        <w:trPr>
          <w:trHeight w:val="895"/>
        </w:trPr>
        <w:tc>
          <w:tcPr>
            <w:tcW w:w="4134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rPr>
                <w:rFonts w:cs="Arial"/>
                <w:bCs/>
              </w:rPr>
            </w:pPr>
            <w:r w:rsidRPr="00FB1E8F">
              <w:rPr>
                <w:rFonts w:cs="Arial"/>
                <w:bCs/>
              </w:rPr>
              <w:t xml:space="preserve">Animal species involved </w:t>
            </w:r>
          </w:p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bCs/>
              </w:rPr>
              <w:t>(e.g., frog, rat, mouse, rabbit, etc.):</w:t>
            </w:r>
          </w:p>
        </w:tc>
        <w:tc>
          <w:tcPr>
            <w:tcW w:w="6084" w:type="dxa"/>
            <w:gridSpan w:val="2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</w:p>
        </w:tc>
      </w:tr>
      <w:tr w:rsidR="00C43C16" w:rsidRPr="00FB1E8F" w:rsidTr="005630F2">
        <w:trPr>
          <w:trHeight w:val="834"/>
        </w:trPr>
        <w:tc>
          <w:tcPr>
            <w:tcW w:w="4134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bCs/>
              </w:rPr>
              <w:t>Name of the non-pharmaceutical-grade compound proposed for use:</w:t>
            </w:r>
          </w:p>
        </w:tc>
        <w:tc>
          <w:tcPr>
            <w:tcW w:w="6084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</w:p>
        </w:tc>
      </w:tr>
      <w:tr w:rsidR="00C43C16" w:rsidRPr="00FB1E8F" w:rsidTr="005630F2">
        <w:trPr>
          <w:trHeight w:val="852"/>
        </w:trPr>
        <w:tc>
          <w:tcPr>
            <w:tcW w:w="4134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>Dosage and route of administration to be used:</w:t>
            </w:r>
          </w:p>
        </w:tc>
        <w:tc>
          <w:tcPr>
            <w:tcW w:w="6084" w:type="dxa"/>
            <w:gridSpan w:val="2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</w:p>
        </w:tc>
      </w:tr>
      <w:tr w:rsidR="00C43C16" w:rsidRPr="00FB1E8F" w:rsidTr="005630F2">
        <w:trPr>
          <w:gridAfter w:val="1"/>
          <w:wAfter w:w="156" w:type="dxa"/>
          <w:trHeight w:val="490"/>
        </w:trPr>
        <w:tc>
          <w:tcPr>
            <w:tcW w:w="10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Yes</w:t>
            </w:r>
          </w:p>
        </w:tc>
        <w:tc>
          <w:tcPr>
            <w:tcW w:w="1014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No</w:t>
            </w:r>
          </w:p>
        </w:tc>
        <w:tc>
          <w:tcPr>
            <w:tcW w:w="803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43C16" w:rsidRPr="00FB1E8F" w:rsidRDefault="00C43C16" w:rsidP="005630F2">
            <w:pPr>
              <w:rPr>
                <w:rFonts w:cs="Arial"/>
                <w:bCs/>
                <w:sz w:val="20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 xml:space="preserve">Is the above-named compound </w:t>
            </w:r>
            <w:r w:rsidRPr="00FB1E8F">
              <w:rPr>
                <w:rFonts w:cs="Arial"/>
                <w:b/>
                <w:sz w:val="32"/>
                <w:szCs w:val="32"/>
                <w:u w:val="single"/>
              </w:rPr>
              <w:t>available</w:t>
            </w:r>
            <w:r w:rsidRPr="00FB1E8F">
              <w:rPr>
                <w:rFonts w:cs="Arial"/>
                <w:b/>
                <w:sz w:val="32"/>
                <w:szCs w:val="32"/>
              </w:rPr>
              <w:t xml:space="preserve"> as a pharmaceutical-grade material?  </w:t>
            </w:r>
            <w:r w:rsidRPr="00FB1E8F">
              <w:rPr>
                <w:rFonts w:cs="Arial"/>
                <w:bCs/>
                <w:sz w:val="20"/>
              </w:rPr>
              <w:t xml:space="preserve">(insert </w:t>
            </w:r>
            <w:r w:rsidRPr="00FB1E8F">
              <w:rPr>
                <w:rFonts w:cs="Arial"/>
                <w:b/>
                <w:sz w:val="28"/>
                <w:szCs w:val="28"/>
              </w:rPr>
              <w:t>X</w:t>
            </w:r>
            <w:r w:rsidRPr="00FB1E8F">
              <w:rPr>
                <w:rFonts w:cs="Arial"/>
                <w:bCs/>
                <w:sz w:val="20"/>
              </w:rPr>
              <w:t xml:space="preserve"> in appropriate box)</w:t>
            </w:r>
          </w:p>
          <w:p w:rsidR="00C43C16" w:rsidRPr="00FB1E8F" w:rsidRDefault="00C43C16" w:rsidP="00C43C16">
            <w:pPr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FB1E8F">
              <w:rPr>
                <w:rFonts w:cs="Arial"/>
                <w:bCs/>
                <w:sz w:val="32"/>
                <w:szCs w:val="32"/>
              </w:rPr>
              <w:t xml:space="preserve">If “yes,” complete </w:t>
            </w:r>
            <w:r w:rsidR="007144AB" w:rsidRPr="00FB1E8F">
              <w:rPr>
                <w:rFonts w:cs="Arial"/>
                <w:bCs/>
                <w:sz w:val="32"/>
                <w:szCs w:val="32"/>
              </w:rPr>
              <w:t>S</w:t>
            </w:r>
            <w:r w:rsidRPr="00FB1E8F">
              <w:rPr>
                <w:rFonts w:cs="Arial"/>
                <w:bCs/>
                <w:sz w:val="32"/>
                <w:szCs w:val="32"/>
              </w:rPr>
              <w:t xml:space="preserve">ection </w:t>
            </w:r>
            <w:r w:rsidR="007144AB" w:rsidRPr="00FB1E8F">
              <w:rPr>
                <w:rFonts w:cs="Arial"/>
                <w:bCs/>
                <w:sz w:val="32"/>
                <w:szCs w:val="32"/>
              </w:rPr>
              <w:t xml:space="preserve">A </w:t>
            </w:r>
            <w:r w:rsidRPr="00FB1E8F">
              <w:rPr>
                <w:rFonts w:cs="Arial"/>
                <w:bCs/>
                <w:sz w:val="32"/>
                <w:szCs w:val="32"/>
              </w:rPr>
              <w:t>below.</w:t>
            </w:r>
          </w:p>
          <w:p w:rsidR="00C43C16" w:rsidRPr="00FB1E8F" w:rsidRDefault="00C43C16" w:rsidP="007144AB">
            <w:pPr>
              <w:numPr>
                <w:ilvl w:val="0"/>
                <w:numId w:val="2"/>
              </w:numPr>
              <w:rPr>
                <w:rFonts w:cs="Arial"/>
                <w:b/>
                <w:sz w:val="32"/>
                <w:szCs w:val="32"/>
              </w:rPr>
            </w:pPr>
            <w:r w:rsidRPr="00FB1E8F">
              <w:rPr>
                <w:rFonts w:cs="Arial"/>
                <w:bCs/>
                <w:sz w:val="32"/>
                <w:szCs w:val="32"/>
              </w:rPr>
              <w:t xml:space="preserve">If “no,” complete </w:t>
            </w:r>
            <w:r w:rsidR="007144AB" w:rsidRPr="00FB1E8F">
              <w:rPr>
                <w:rFonts w:cs="Arial"/>
                <w:bCs/>
                <w:sz w:val="32"/>
                <w:szCs w:val="32"/>
              </w:rPr>
              <w:t>S</w:t>
            </w:r>
            <w:r w:rsidRPr="00FB1E8F">
              <w:rPr>
                <w:rFonts w:cs="Arial"/>
                <w:bCs/>
                <w:sz w:val="32"/>
                <w:szCs w:val="32"/>
              </w:rPr>
              <w:t xml:space="preserve">ection </w:t>
            </w:r>
            <w:r w:rsidR="007144AB" w:rsidRPr="00FB1E8F">
              <w:rPr>
                <w:rFonts w:cs="Arial"/>
                <w:bCs/>
                <w:sz w:val="32"/>
                <w:szCs w:val="32"/>
              </w:rPr>
              <w:t xml:space="preserve">B </w:t>
            </w:r>
            <w:r w:rsidRPr="00FB1E8F">
              <w:rPr>
                <w:rFonts w:cs="Arial"/>
                <w:bCs/>
                <w:sz w:val="32"/>
                <w:szCs w:val="32"/>
              </w:rPr>
              <w:t>below.</w:t>
            </w:r>
          </w:p>
        </w:tc>
      </w:tr>
      <w:tr w:rsidR="00C43C16" w:rsidRPr="00FB1E8F" w:rsidTr="005630F2">
        <w:trPr>
          <w:gridAfter w:val="1"/>
          <w:wAfter w:w="156" w:type="dxa"/>
          <w:trHeight w:val="1374"/>
        </w:trPr>
        <w:tc>
          <w:tcPr>
            <w:tcW w:w="101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43C16" w:rsidRPr="00FB1E8F" w:rsidRDefault="007144AB" w:rsidP="005630F2">
            <w:pPr>
              <w:spacing w:before="40" w:after="40"/>
              <w:jc w:val="center"/>
              <w:rPr>
                <w:rFonts w:cs="Arial"/>
                <w:b/>
                <w:sz w:val="48"/>
                <w:szCs w:val="48"/>
              </w:rPr>
            </w:pPr>
            <w:r w:rsidRPr="00FB1E8F">
              <w:rPr>
                <w:rFonts w:cs="Arial"/>
                <w:b/>
                <w:sz w:val="48"/>
                <w:szCs w:val="48"/>
              </w:rPr>
              <w:t>X</w:t>
            </w:r>
          </w:p>
        </w:tc>
        <w:tc>
          <w:tcPr>
            <w:tcW w:w="803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43C16" w:rsidRPr="00FB1E8F" w:rsidRDefault="00C43C16" w:rsidP="005630F2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C43C16" w:rsidRPr="00FB1E8F" w:rsidRDefault="00C43C16" w:rsidP="00C43C16">
      <w:pPr>
        <w:spacing w:before="80" w:after="80"/>
        <w:rPr>
          <w:rFonts w:cs="Arial"/>
        </w:rPr>
      </w:pPr>
    </w:p>
    <w:p w:rsidR="00C43C16" w:rsidRPr="00FB1E8F" w:rsidRDefault="00C43C16" w:rsidP="00C43C16">
      <w:pPr>
        <w:spacing w:before="80" w:after="80"/>
        <w:rPr>
          <w:rFonts w:cs="Arial"/>
        </w:rPr>
      </w:pPr>
    </w:p>
    <w:p w:rsidR="00C43C16" w:rsidRPr="00FB1E8F" w:rsidRDefault="00C43C16" w:rsidP="00C43C16">
      <w:pPr>
        <w:spacing w:before="80" w:after="80"/>
        <w:rPr>
          <w:rFonts w:cs="Arial"/>
        </w:rPr>
      </w:pPr>
    </w:p>
    <w:p w:rsidR="00C43C16" w:rsidRPr="00FB1E8F" w:rsidRDefault="00C43C16" w:rsidP="00C43C16">
      <w:pPr>
        <w:spacing w:before="80" w:after="80"/>
        <w:rPr>
          <w:rFonts w:cs="Arial"/>
        </w:rPr>
      </w:pPr>
    </w:p>
    <w:tbl>
      <w:tblPr>
        <w:tblW w:w="978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60"/>
        <w:gridCol w:w="8358"/>
      </w:tblGrid>
      <w:tr w:rsidR="00C43C16" w:rsidRPr="00FB1E8F" w:rsidTr="005630F2">
        <w:tc>
          <w:tcPr>
            <w:tcW w:w="978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7144AB">
            <w:pPr>
              <w:pStyle w:val="ListParagraph"/>
              <w:numPr>
                <w:ilvl w:val="0"/>
                <w:numId w:val="3"/>
              </w:numPr>
              <w:spacing w:before="80" w:after="80"/>
              <w:ind w:left="384"/>
              <w:rPr>
                <w:rFonts w:cs="Arial"/>
                <w:b/>
                <w:highlight w:val="yellow"/>
              </w:rPr>
            </w:pPr>
            <w:r w:rsidRPr="00FB1E8F">
              <w:rPr>
                <w:rFonts w:cs="Arial"/>
                <w:b/>
                <w:sz w:val="32"/>
                <w:szCs w:val="32"/>
                <w:highlight w:val="yellow"/>
              </w:rPr>
              <w:lastRenderedPageBreak/>
              <w:t xml:space="preserve"> </w:t>
            </w:r>
            <w:r w:rsidR="00C43C16" w:rsidRPr="00FB1E8F">
              <w:rPr>
                <w:rFonts w:cs="Arial"/>
                <w:b/>
                <w:sz w:val="32"/>
                <w:szCs w:val="32"/>
                <w:highlight w:val="yellow"/>
              </w:rPr>
              <w:t>Yes,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 a USP version of </w:t>
            </w:r>
            <w:r w:rsidRPr="00FB1E8F">
              <w:rPr>
                <w:rFonts w:cs="Arial"/>
                <w:sz w:val="32"/>
                <w:szCs w:val="32"/>
                <w:highlight w:val="yellow"/>
              </w:rPr>
              <w:t>compound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 is </w:t>
            </w:r>
            <w:r w:rsidR="00C43C16" w:rsidRPr="00FB1E8F">
              <w:rPr>
                <w:rFonts w:cs="Arial"/>
                <w:b/>
                <w:sz w:val="32"/>
                <w:szCs w:val="32"/>
                <w:highlight w:val="yellow"/>
                <w:u w:val="single"/>
              </w:rPr>
              <w:t>available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, but will </w:t>
            </w:r>
            <w:r w:rsidR="00C43C16" w:rsidRPr="00FB1E8F">
              <w:rPr>
                <w:rFonts w:cs="Arial"/>
                <w:b/>
                <w:sz w:val="32"/>
                <w:szCs w:val="32"/>
                <w:highlight w:val="yellow"/>
              </w:rPr>
              <w:t>not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 be used for the following reason(s):</w:t>
            </w:r>
            <w:r w:rsidR="00C43C16" w:rsidRPr="00FB1E8F">
              <w:rPr>
                <w:rFonts w:cs="Arial"/>
                <w:sz w:val="32"/>
                <w:szCs w:val="32"/>
              </w:rPr>
              <w:t xml:space="preserve">  </w:t>
            </w:r>
            <w:r w:rsidR="00C43C16" w:rsidRPr="00FB1E8F">
              <w:rPr>
                <w:rFonts w:cs="Arial"/>
                <w:bCs/>
                <w:sz w:val="20"/>
              </w:rPr>
              <w:t xml:space="preserve"> (insert </w:t>
            </w:r>
            <w:r w:rsidR="00C43C16" w:rsidRPr="00FB1E8F">
              <w:rPr>
                <w:rFonts w:cs="Arial"/>
                <w:b/>
                <w:sz w:val="28"/>
                <w:szCs w:val="28"/>
              </w:rPr>
              <w:t>X</w:t>
            </w:r>
            <w:r w:rsidR="00C43C16" w:rsidRPr="00FB1E8F">
              <w:rPr>
                <w:rFonts w:cs="Arial"/>
                <w:bCs/>
                <w:sz w:val="20"/>
              </w:rPr>
              <w:t xml:space="preserve"> in appropriate boxes below)</w:t>
            </w:r>
          </w:p>
        </w:tc>
      </w:tr>
      <w:tr w:rsidR="00C43C16" w:rsidRPr="00FB1E8F" w:rsidTr="005630F2">
        <w:tc>
          <w:tcPr>
            <w:tcW w:w="7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Yes</w:t>
            </w:r>
          </w:p>
        </w:tc>
        <w:tc>
          <w:tcPr>
            <w:tcW w:w="6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No</w:t>
            </w:r>
          </w:p>
        </w:tc>
        <w:tc>
          <w:tcPr>
            <w:tcW w:w="835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The available human or veterinary drug is not concentrated enough to meet experimental requirements.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Although an equivalent veterinary or human drug is available, dilution or change in formulation is required, thereby compromising the value of USP formulation.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The chemical-grade reagent is required to replicate methods from previous studies because results of the proposed study will be directly compared to those of published studies.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The available USP human or veterinary drug does not meet the non-toxic vehicle requirements for the specified route of injection.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Use of the highest-grade reagent has the advantage of single-stage formulation and results in purity that is equal to or higher than the human or veterinary drug.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>Other (please specify):</w:t>
            </w:r>
          </w:p>
        </w:tc>
      </w:tr>
    </w:tbl>
    <w:p w:rsidR="00C43C16" w:rsidRPr="00FB1E8F" w:rsidRDefault="00C43C16" w:rsidP="00C43C16">
      <w:pPr>
        <w:spacing w:before="80" w:after="80"/>
        <w:rPr>
          <w:rFonts w:cs="Arial"/>
        </w:rPr>
      </w:pPr>
    </w:p>
    <w:tbl>
      <w:tblPr>
        <w:tblW w:w="978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60"/>
        <w:gridCol w:w="8358"/>
      </w:tblGrid>
      <w:tr w:rsidR="00C43C16" w:rsidRPr="00FB1E8F" w:rsidTr="005630F2">
        <w:tc>
          <w:tcPr>
            <w:tcW w:w="978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rPr>
                <w:rFonts w:cs="Arial"/>
                <w:sz w:val="32"/>
                <w:szCs w:val="32"/>
              </w:rPr>
            </w:pPr>
            <w:r w:rsidRPr="00FB1E8F">
              <w:rPr>
                <w:rFonts w:cs="Arial"/>
                <w:b/>
                <w:sz w:val="32"/>
                <w:szCs w:val="32"/>
                <w:highlight w:val="yellow"/>
              </w:rPr>
              <w:t xml:space="preserve">B  </w:t>
            </w:r>
            <w:r w:rsidR="00C43C16" w:rsidRPr="00FB1E8F">
              <w:rPr>
                <w:rFonts w:cs="Arial"/>
                <w:b/>
                <w:sz w:val="32"/>
                <w:szCs w:val="32"/>
                <w:highlight w:val="yellow"/>
              </w:rPr>
              <w:t>NO,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 a pharmaceutical-grade version of this </w:t>
            </w:r>
            <w:r w:rsidRPr="00FB1E8F">
              <w:rPr>
                <w:rFonts w:cs="Arial"/>
                <w:sz w:val="32"/>
                <w:szCs w:val="32"/>
                <w:highlight w:val="yellow"/>
              </w:rPr>
              <w:t>compound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 xml:space="preserve"> is </w:t>
            </w:r>
            <w:r w:rsidR="00C43C16" w:rsidRPr="00FB1E8F">
              <w:rPr>
                <w:rFonts w:cs="Arial"/>
                <w:b/>
                <w:sz w:val="32"/>
                <w:szCs w:val="32"/>
                <w:highlight w:val="yellow"/>
                <w:u w:val="single"/>
              </w:rPr>
              <w:t>not available</w:t>
            </w:r>
            <w:r w:rsidR="00C43C16" w:rsidRPr="00FB1E8F">
              <w:rPr>
                <w:rFonts w:cs="Arial"/>
                <w:sz w:val="32"/>
                <w:szCs w:val="32"/>
                <w:highlight w:val="yellow"/>
              </w:rPr>
              <w:t>.</w:t>
            </w:r>
          </w:p>
          <w:p w:rsidR="00C43C16" w:rsidRPr="00FB1E8F" w:rsidRDefault="00C43C16" w:rsidP="007144AB">
            <w:pPr>
              <w:spacing w:before="80" w:after="80"/>
              <w:rPr>
                <w:rFonts w:cs="Arial"/>
                <w:b/>
                <w:highlight w:val="yellow"/>
              </w:rPr>
            </w:pPr>
            <w:r w:rsidRPr="00FB1E8F">
              <w:rPr>
                <w:rFonts w:cs="Arial"/>
                <w:bCs/>
                <w:sz w:val="28"/>
                <w:szCs w:val="28"/>
              </w:rPr>
              <w:t xml:space="preserve">The following measures will be implemented to </w:t>
            </w:r>
            <w:r w:rsidR="007144AB" w:rsidRPr="00FB1E8F">
              <w:rPr>
                <w:rFonts w:cs="Arial"/>
                <w:bCs/>
                <w:sz w:val="28"/>
                <w:szCs w:val="28"/>
              </w:rPr>
              <w:t xml:space="preserve">optimize use of this material.      </w:t>
            </w:r>
            <w:r w:rsidRPr="00FB1E8F">
              <w:rPr>
                <w:rFonts w:cs="Arial"/>
                <w:bCs/>
                <w:sz w:val="20"/>
              </w:rPr>
              <w:t xml:space="preserve">(insert </w:t>
            </w:r>
            <w:r w:rsidRPr="00FB1E8F">
              <w:rPr>
                <w:rFonts w:cs="Arial"/>
                <w:b/>
                <w:sz w:val="28"/>
                <w:szCs w:val="28"/>
              </w:rPr>
              <w:t>X</w:t>
            </w:r>
            <w:r w:rsidRPr="00FB1E8F">
              <w:rPr>
                <w:rFonts w:cs="Arial"/>
                <w:bCs/>
                <w:sz w:val="20"/>
              </w:rPr>
              <w:t xml:space="preserve"> in appropriate boxes below)</w:t>
            </w:r>
          </w:p>
        </w:tc>
      </w:tr>
      <w:tr w:rsidR="00C43C16" w:rsidRPr="00FB1E8F" w:rsidTr="005630F2">
        <w:tc>
          <w:tcPr>
            <w:tcW w:w="7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Yes</w:t>
            </w:r>
          </w:p>
        </w:tc>
        <w:tc>
          <w:tcPr>
            <w:tcW w:w="6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jc w:val="center"/>
              <w:rPr>
                <w:rFonts w:cs="Arial"/>
                <w:b/>
              </w:rPr>
            </w:pPr>
            <w:r w:rsidRPr="00FB1E8F">
              <w:rPr>
                <w:rFonts w:cs="Arial"/>
                <w:b/>
              </w:rPr>
              <w:t>No</w:t>
            </w:r>
          </w:p>
        </w:tc>
        <w:tc>
          <w:tcPr>
            <w:tcW w:w="835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  <w:color w:val="000000"/>
              </w:rPr>
              <w:t>The highest-grade equivalent chemical reagent will be used and formulated aseptically with a non-toxic vehicle as appropriate for the route of administration.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>For compounds to be injected in live animals, the pH and osmolality of the compound will be appropriately adjusted.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7144AB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 xml:space="preserve">Consideration of the pharmacokinetics of the </w:t>
            </w:r>
            <w:r w:rsidR="007144AB" w:rsidRPr="00FB1E8F">
              <w:rPr>
                <w:rFonts w:cs="Arial"/>
              </w:rPr>
              <w:t>compound</w:t>
            </w:r>
            <w:r w:rsidRPr="00FB1E8F">
              <w:rPr>
                <w:rFonts w:cs="Arial"/>
              </w:rPr>
              <w:t xml:space="preserve"> will be based on the scientific literature and the proposed use of the agent in this study.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7144A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 xml:space="preserve">The scientific literature will be consulted to establish a safe “use by” date for the </w:t>
            </w:r>
            <w:r w:rsidR="007144AB" w:rsidRPr="00FB1E8F">
              <w:rPr>
                <w:rFonts w:cs="Arial"/>
              </w:rPr>
              <w:t>agent</w:t>
            </w:r>
            <w:r w:rsidRPr="00FB1E8F">
              <w:rPr>
                <w:rFonts w:cs="Arial"/>
              </w:rPr>
              <w:t xml:space="preserve">.  In the absence of good data, the “use by” date will be 2 weeks or less.  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7144AB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 xml:space="preserve">Appropriate storage conditions will be used to optimize stability of the </w:t>
            </w:r>
            <w:r w:rsidR="007144AB" w:rsidRPr="00FB1E8F">
              <w:rPr>
                <w:rFonts w:cs="Arial"/>
              </w:rPr>
              <w:t>compound</w:t>
            </w:r>
            <w:r w:rsidRPr="00FB1E8F">
              <w:rPr>
                <w:rFonts w:cs="Arial"/>
              </w:rPr>
              <w:t>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835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7144AB">
            <w:pPr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 xml:space="preserve">Animals will be monitored as described in protocol to assess potential toxicity or </w:t>
            </w:r>
            <w:proofErr w:type="spellStart"/>
            <w:r w:rsidRPr="00FB1E8F">
              <w:rPr>
                <w:rFonts w:cs="Arial"/>
              </w:rPr>
              <w:t>pyrogenicity</w:t>
            </w:r>
            <w:proofErr w:type="spellEnd"/>
            <w:r w:rsidRPr="00FB1E8F">
              <w:rPr>
                <w:rFonts w:cs="Arial"/>
              </w:rPr>
              <w:t xml:space="preserve"> of the </w:t>
            </w:r>
            <w:r w:rsidR="007144AB" w:rsidRPr="00FB1E8F">
              <w:rPr>
                <w:rFonts w:cs="Arial"/>
              </w:rPr>
              <w:t>compound</w:t>
            </w:r>
            <w:r w:rsidRPr="00FB1E8F">
              <w:rPr>
                <w:rFonts w:cs="Arial"/>
              </w:rPr>
              <w:t>.</w:t>
            </w:r>
          </w:p>
        </w:tc>
      </w:tr>
      <w:tr w:rsidR="00C43C16" w:rsidRPr="00FB1E8F" w:rsidTr="005630F2">
        <w:tc>
          <w:tcPr>
            <w:tcW w:w="76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16" w:rsidRPr="00FB1E8F" w:rsidRDefault="00C43C16" w:rsidP="005630F2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43C16" w:rsidRPr="00FB1E8F" w:rsidRDefault="007144AB" w:rsidP="005630F2">
            <w:pPr>
              <w:spacing w:before="80" w:after="80"/>
              <w:jc w:val="center"/>
              <w:rPr>
                <w:rFonts w:cs="Arial"/>
              </w:rPr>
            </w:pPr>
            <w:r w:rsidRPr="00FB1E8F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835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3C16" w:rsidRPr="00FB1E8F" w:rsidRDefault="00C43C16" w:rsidP="005630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FB1E8F">
              <w:rPr>
                <w:rFonts w:cs="Arial"/>
              </w:rPr>
              <w:t>Other (please specify):</w:t>
            </w:r>
          </w:p>
        </w:tc>
      </w:tr>
    </w:tbl>
    <w:p w:rsidR="00C43C16" w:rsidRPr="00FB1E8F" w:rsidRDefault="00C43C16" w:rsidP="00C43C16">
      <w:pPr>
        <w:rPr>
          <w:rFonts w:cs="Arial"/>
          <w:szCs w:val="24"/>
        </w:rPr>
      </w:pPr>
    </w:p>
    <w:sectPr w:rsidR="00C43C16" w:rsidRPr="00FB1E8F" w:rsidSect="00006404">
      <w:footerReference w:type="default" r:id="rId8"/>
      <w:pgSz w:w="12240" w:h="15840" w:code="1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44" w:rsidRDefault="00B27A44">
      <w:r>
        <w:separator/>
      </w:r>
    </w:p>
  </w:endnote>
  <w:endnote w:type="continuationSeparator" w:id="0">
    <w:p w:rsidR="00B27A44" w:rsidRDefault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24" w:rsidRPr="00006404" w:rsidRDefault="00C43C16" w:rsidP="007106ED">
    <w:pPr>
      <w:pStyle w:val="Footer"/>
      <w:tabs>
        <w:tab w:val="clear" w:pos="8640"/>
      </w:tabs>
      <w:rPr>
        <w:sz w:val="20"/>
      </w:rPr>
    </w:pPr>
    <w:r w:rsidRPr="00006404">
      <w:rPr>
        <w:sz w:val="20"/>
      </w:rPr>
      <w:t>IACUC protocol</w:t>
    </w:r>
    <w:r w:rsidRPr="00006404">
      <w:rPr>
        <w:sz w:val="20"/>
      </w:rPr>
      <w:tab/>
    </w:r>
    <w:r w:rsidRPr="00006404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006404">
      <w:rPr>
        <w:sz w:val="20"/>
      </w:rPr>
      <w:t xml:space="preserve">page </w:t>
    </w:r>
    <w:r w:rsidRPr="00006404">
      <w:rPr>
        <w:rStyle w:val="PageNumber"/>
        <w:sz w:val="20"/>
      </w:rPr>
      <w:fldChar w:fldCharType="begin"/>
    </w:r>
    <w:r w:rsidRPr="00006404">
      <w:rPr>
        <w:rStyle w:val="PageNumber"/>
        <w:sz w:val="20"/>
      </w:rPr>
      <w:instrText xml:space="preserve"> PAGE </w:instrText>
    </w:r>
    <w:r w:rsidRPr="00006404">
      <w:rPr>
        <w:rStyle w:val="PageNumber"/>
        <w:sz w:val="20"/>
      </w:rPr>
      <w:fldChar w:fldCharType="separate"/>
    </w:r>
    <w:r w:rsidR="002B0864">
      <w:rPr>
        <w:rStyle w:val="PageNumber"/>
        <w:noProof/>
        <w:sz w:val="20"/>
      </w:rPr>
      <w:t>1</w:t>
    </w:r>
    <w:r w:rsidRPr="00006404">
      <w:rPr>
        <w:rStyle w:val="PageNumber"/>
        <w:sz w:val="20"/>
      </w:rPr>
      <w:fldChar w:fldCharType="end"/>
    </w:r>
    <w:r w:rsidRPr="00006404">
      <w:rPr>
        <w:rStyle w:val="PageNumber"/>
        <w:sz w:val="20"/>
      </w:rPr>
      <w:t xml:space="preserve"> of </w:t>
    </w:r>
    <w:r w:rsidRPr="00006404">
      <w:rPr>
        <w:rStyle w:val="PageNumber"/>
        <w:sz w:val="20"/>
      </w:rPr>
      <w:fldChar w:fldCharType="begin"/>
    </w:r>
    <w:r w:rsidRPr="00006404">
      <w:rPr>
        <w:rStyle w:val="PageNumber"/>
        <w:sz w:val="20"/>
      </w:rPr>
      <w:instrText xml:space="preserve"> NUMPAGES </w:instrText>
    </w:r>
    <w:r w:rsidRPr="00006404">
      <w:rPr>
        <w:rStyle w:val="PageNumber"/>
        <w:sz w:val="20"/>
      </w:rPr>
      <w:fldChar w:fldCharType="separate"/>
    </w:r>
    <w:r w:rsidR="002B0864">
      <w:rPr>
        <w:rStyle w:val="PageNumber"/>
        <w:noProof/>
        <w:sz w:val="20"/>
      </w:rPr>
      <w:t>2</w:t>
    </w:r>
    <w:r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44" w:rsidRDefault="00B27A44">
      <w:r>
        <w:separator/>
      </w:r>
    </w:p>
  </w:footnote>
  <w:footnote w:type="continuationSeparator" w:id="0">
    <w:p w:rsidR="00B27A44" w:rsidRDefault="00B2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F6A"/>
    <w:multiLevelType w:val="hybridMultilevel"/>
    <w:tmpl w:val="22B8412A"/>
    <w:lvl w:ilvl="0" w:tplc="C9D440B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3697"/>
    <w:multiLevelType w:val="hybridMultilevel"/>
    <w:tmpl w:val="09B0F3F4"/>
    <w:lvl w:ilvl="0" w:tplc="35F6AC6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BB0"/>
    <w:multiLevelType w:val="hybridMultilevel"/>
    <w:tmpl w:val="FFA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6"/>
    <w:rsid w:val="000150C8"/>
    <w:rsid w:val="002B0864"/>
    <w:rsid w:val="00417A89"/>
    <w:rsid w:val="007144AB"/>
    <w:rsid w:val="007B0E2D"/>
    <w:rsid w:val="00AF2E00"/>
    <w:rsid w:val="00B27A44"/>
    <w:rsid w:val="00C43C16"/>
    <w:rsid w:val="00DA6B7A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C1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43C16"/>
  </w:style>
  <w:style w:type="paragraph" w:styleId="Header">
    <w:name w:val="header"/>
    <w:basedOn w:val="Normal"/>
    <w:link w:val="HeaderChar"/>
    <w:uiPriority w:val="99"/>
    <w:unhideWhenUsed/>
    <w:rsid w:val="0071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4A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1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C1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43C16"/>
  </w:style>
  <w:style w:type="paragraph" w:styleId="Header">
    <w:name w:val="header"/>
    <w:basedOn w:val="Normal"/>
    <w:link w:val="HeaderChar"/>
    <w:uiPriority w:val="99"/>
    <w:unhideWhenUsed/>
    <w:rsid w:val="0071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4A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2016-12-20T14:05:00Z</dcterms:created>
  <dcterms:modified xsi:type="dcterms:W3CDTF">2016-12-20T14:05:00Z</dcterms:modified>
</cp:coreProperties>
</file>