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B882" w14:textId="77777777" w:rsidR="00715AD3" w:rsidRDefault="00790780">
      <w:pPr>
        <w:spacing w:line="259" w:lineRule="auto"/>
        <w:ind w:left="0" w:firstLine="0"/>
      </w:pPr>
      <w:r>
        <w:rPr>
          <w:noProof/>
        </w:rPr>
        <w:drawing>
          <wp:inline distT="0" distB="0" distL="0" distR="0" wp14:anchorId="4D107428" wp14:editId="7083462F">
            <wp:extent cx="1718136" cy="466090"/>
            <wp:effectExtent l="0" t="0" r="0" b="0"/>
            <wp:docPr id="8" name="Picture 8" descr="A black and white UMS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ack and white UMSL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8136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14:paraId="0A291EAF" w14:textId="77777777" w:rsidR="00715AD3" w:rsidRDefault="00790780">
      <w:pPr>
        <w:spacing w:after="157" w:line="259" w:lineRule="auto"/>
        <w:ind w:left="0" w:firstLine="0"/>
      </w:pPr>
      <w:r>
        <w:rPr>
          <w:rFonts w:ascii="Cambria" w:eastAsia="Cambria" w:hAnsi="Cambria" w:cs="Cambria"/>
        </w:rPr>
        <w:t xml:space="preserve"> </w:t>
      </w:r>
    </w:p>
    <w:p w14:paraId="668ACFAD" w14:textId="3A18F0F0" w:rsidR="00715AD3" w:rsidRPr="00447AEA" w:rsidRDefault="00790780" w:rsidP="00447AEA">
      <w:pPr>
        <w:pStyle w:val="Heading2"/>
        <w:jc w:val="center"/>
        <w:rPr>
          <w:color w:val="auto"/>
        </w:rPr>
      </w:pPr>
      <w:r w:rsidRPr="00447AEA">
        <w:rPr>
          <w:color w:val="auto"/>
        </w:rPr>
        <w:t>Institutional Review Board</w:t>
      </w:r>
    </w:p>
    <w:p w14:paraId="764E1136" w14:textId="69DFEFDE" w:rsidR="00715AD3" w:rsidRPr="00447AEA" w:rsidRDefault="00790780" w:rsidP="00447AEA">
      <w:pPr>
        <w:pStyle w:val="Heading2"/>
        <w:jc w:val="center"/>
        <w:rPr>
          <w:color w:val="auto"/>
        </w:rPr>
      </w:pPr>
      <w:r w:rsidRPr="00447AEA">
        <w:rPr>
          <w:color w:val="auto"/>
        </w:rPr>
        <w:t>GUIDELINES FOR RESEARCH INVOLVING NON-UMSL RESEARCHERS</w:t>
      </w:r>
    </w:p>
    <w:p w14:paraId="2BF73E01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471269BB" w14:textId="77777777" w:rsidR="00715AD3" w:rsidRDefault="00790780">
      <w:pPr>
        <w:pStyle w:val="Heading1"/>
        <w:ind w:left="225" w:hanging="240"/>
      </w:pPr>
      <w:r>
        <w:t xml:space="preserve">Introduction </w:t>
      </w:r>
    </w:p>
    <w:p w14:paraId="286EFBB5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44BB2140" w14:textId="77777777" w:rsidR="00715AD3" w:rsidRDefault="00790780">
      <w:pPr>
        <w:ind w:left="-5"/>
      </w:pPr>
      <w:r>
        <w:t xml:space="preserve">The University of Missouri–St. Louis (UMSL) is occasionally contacted by researchers at other institutions with a request to recruit UMSL students or faculty to participate in their human </w:t>
      </w:r>
      <w:proofErr w:type="gramStart"/>
      <w:r>
        <w:t>subjects</w:t>
      </w:r>
      <w:proofErr w:type="gramEnd"/>
      <w:r>
        <w:t xml:space="preserve"> research.  This document describes the UMSL Institutional Review Board (IRB) requirements for review of human </w:t>
      </w:r>
      <w:proofErr w:type="gramStart"/>
      <w:r>
        <w:t>subjects</w:t>
      </w:r>
      <w:proofErr w:type="gramEnd"/>
      <w:r>
        <w:t xml:space="preserve"> research involving non-UMSL researchers.   </w:t>
      </w:r>
    </w:p>
    <w:p w14:paraId="59F76D90" w14:textId="77777777" w:rsidR="00715AD3" w:rsidRDefault="00790780">
      <w:pPr>
        <w:spacing w:line="259" w:lineRule="auto"/>
        <w:ind w:left="0" w:firstLine="0"/>
      </w:pPr>
      <w:r>
        <w:rPr>
          <w:b/>
        </w:rPr>
        <w:t xml:space="preserve"> </w:t>
      </w:r>
    </w:p>
    <w:p w14:paraId="04331AF0" w14:textId="77777777" w:rsidR="00715AD3" w:rsidRDefault="00790780">
      <w:pPr>
        <w:pStyle w:val="Heading1"/>
        <w:ind w:left="225" w:hanging="240"/>
      </w:pPr>
      <w:r>
        <w:t xml:space="preserve">Definitions </w:t>
      </w:r>
    </w:p>
    <w:p w14:paraId="379D12B3" w14:textId="77777777" w:rsidR="00715AD3" w:rsidRDefault="00790780">
      <w:pPr>
        <w:spacing w:line="259" w:lineRule="auto"/>
        <w:ind w:left="0" w:firstLine="0"/>
      </w:pPr>
      <w:r>
        <w:rPr>
          <w:b/>
        </w:rPr>
        <w:t xml:space="preserve"> </w:t>
      </w:r>
    </w:p>
    <w:p w14:paraId="1FE328A2" w14:textId="77777777" w:rsidR="00715AD3" w:rsidRDefault="00790780">
      <w:pPr>
        <w:ind w:left="-5"/>
      </w:pPr>
      <w:r>
        <w:rPr>
          <w:b/>
        </w:rPr>
        <w:t>Research</w:t>
      </w:r>
      <w:r>
        <w:t xml:space="preserve"> is defined as a systematic investigation, including research development, testing and evaluation, designed to develop or contribute to generalizable knowledge [</w:t>
      </w:r>
      <w:hyperlink r:id="rId11" w:anchor="46.102">
        <w:r>
          <w:rPr>
            <w:color w:val="0000FF"/>
            <w:u w:val="single" w:color="0000FF"/>
          </w:rPr>
          <w:t>45CFR46.102</w:t>
        </w:r>
      </w:hyperlink>
      <w:hyperlink r:id="rId12" w:anchor="46.102">
        <w:r>
          <w:t>]</w:t>
        </w:r>
      </w:hyperlink>
      <w:r>
        <w:t xml:space="preserve"> or activities that meet the Food and Drug Administration’s (FDA) definition of a </w:t>
      </w:r>
      <w:hyperlink r:id="rId13">
        <w:r>
          <w:rPr>
            <w:color w:val="0000FF"/>
            <w:u w:val="single" w:color="0000FF"/>
          </w:rPr>
          <w:t>“clinical</w:t>
        </w:r>
      </w:hyperlink>
      <w:hyperlink r:id="rId14">
        <w:r>
          <w:rPr>
            <w:color w:val="0000FF"/>
          </w:rPr>
          <w:t xml:space="preserve"> </w:t>
        </w:r>
      </w:hyperlink>
      <w:hyperlink r:id="rId15">
        <w:r>
          <w:rPr>
            <w:color w:val="0000FF"/>
            <w:u w:val="single" w:color="0000FF"/>
          </w:rPr>
          <w:t>investigation”</w:t>
        </w:r>
      </w:hyperlink>
      <w:hyperlink r:id="rId16">
        <w:r>
          <w:t>.</w:t>
        </w:r>
      </w:hyperlink>
      <w:r>
        <w:t xml:space="preserve"> </w:t>
      </w:r>
    </w:p>
    <w:p w14:paraId="689A8CE4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0C1BEFF5" w14:textId="77777777" w:rsidR="00715AD3" w:rsidRDefault="00790780">
      <w:pPr>
        <w:ind w:left="-5"/>
      </w:pPr>
      <w:r>
        <w:rPr>
          <w:b/>
        </w:rPr>
        <w:t>Human Subject</w:t>
      </w:r>
      <w:r>
        <w:t xml:space="preserve"> is a living individual about whom an investigator (whether professional or student) conducting research (</w:t>
      </w:r>
      <w:proofErr w:type="spellStart"/>
      <w:r>
        <w:t>i</w:t>
      </w:r>
      <w:proofErr w:type="spellEnd"/>
      <w:r>
        <w:t>)obtains information or biospecimens through intervention or interaction with the individual, and uses, studies, or analyzes the information or biospecimens; or (ii) obtains, uses, studies, analyzes, or generates identifiable private information or identifiable biospecimens [</w:t>
      </w:r>
      <w:hyperlink r:id="rId17" w:anchor="46.102">
        <w:r>
          <w:rPr>
            <w:color w:val="0000FF"/>
            <w:u w:val="single" w:color="0000FF"/>
          </w:rPr>
          <w:t>45CFR46.102</w:t>
        </w:r>
      </w:hyperlink>
      <w:hyperlink r:id="rId18" w:anchor="46.102">
        <w:r>
          <w:t>]</w:t>
        </w:r>
      </w:hyperlink>
      <w:r>
        <w:t xml:space="preserve">. See also the FDA definition of </w:t>
      </w:r>
      <w:hyperlink r:id="rId19">
        <w:r>
          <w:rPr>
            <w:color w:val="0000FF"/>
            <w:u w:val="single" w:color="0000FF"/>
          </w:rPr>
          <w:t>“human subject”</w:t>
        </w:r>
      </w:hyperlink>
      <w:hyperlink r:id="rId20">
        <w:r>
          <w:t>.</w:t>
        </w:r>
      </w:hyperlink>
      <w:r>
        <w:t xml:space="preserve"> </w:t>
      </w:r>
    </w:p>
    <w:p w14:paraId="26D1376A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434793D5" w14:textId="77777777" w:rsidR="00715AD3" w:rsidRDefault="00790780">
      <w:pPr>
        <w:ind w:left="-5"/>
      </w:pPr>
      <w:r>
        <w:rPr>
          <w:b/>
        </w:rPr>
        <w:t xml:space="preserve">Non-UMSL Researcher </w:t>
      </w:r>
      <w:r>
        <w:t xml:space="preserve">is a researcher that is not under the authority of UMSL.  </w:t>
      </w:r>
    </w:p>
    <w:p w14:paraId="2BFF204E" w14:textId="77777777" w:rsidR="00715AD3" w:rsidRDefault="00790780">
      <w:pPr>
        <w:spacing w:line="259" w:lineRule="auto"/>
        <w:ind w:left="0" w:firstLine="0"/>
      </w:pPr>
      <w:r>
        <w:rPr>
          <w:i/>
        </w:rPr>
        <w:t xml:space="preserve"> </w:t>
      </w:r>
    </w:p>
    <w:p w14:paraId="75872693" w14:textId="77777777" w:rsidR="00715AD3" w:rsidRDefault="00790780">
      <w:pPr>
        <w:ind w:left="-5"/>
      </w:pPr>
      <w:r>
        <w:rPr>
          <w:b/>
        </w:rPr>
        <w:t>Engaged (in conduct of research):</w:t>
      </w:r>
      <w:r>
        <w:t xml:space="preserve"> Involved in human </w:t>
      </w:r>
      <w:proofErr w:type="gramStart"/>
      <w:r>
        <w:t>subjects</w:t>
      </w:r>
      <w:proofErr w:type="gramEnd"/>
      <w:r>
        <w:t xml:space="preserve"> research in such a way (or to the extent) that the ethical and regulatory requirements for human </w:t>
      </w:r>
      <w:proofErr w:type="gramStart"/>
      <w:r>
        <w:t>subjects</w:t>
      </w:r>
      <w:proofErr w:type="gramEnd"/>
      <w:r>
        <w:t xml:space="preserve"> protection are applicable. An individual (or institution) becomes engaged in human </w:t>
      </w:r>
      <w:proofErr w:type="gramStart"/>
      <w:r>
        <w:t>subjects</w:t>
      </w:r>
      <w:proofErr w:type="gramEnd"/>
      <w:r>
        <w:t xml:space="preserve"> research when, for the purposes of non-exempt research, the individual (or institution’s employee or agent) obtains any of the following: </w:t>
      </w:r>
    </w:p>
    <w:p w14:paraId="5CDFD83A" w14:textId="77777777" w:rsidR="00715AD3" w:rsidRDefault="00790780">
      <w:pPr>
        <w:spacing w:after="1" w:line="259" w:lineRule="auto"/>
        <w:ind w:left="0" w:firstLine="0"/>
      </w:pPr>
      <w:r>
        <w:t xml:space="preserve"> </w:t>
      </w:r>
    </w:p>
    <w:p w14:paraId="1277089B" w14:textId="77777777" w:rsidR="00715AD3" w:rsidRDefault="00790780">
      <w:pPr>
        <w:numPr>
          <w:ilvl w:val="0"/>
          <w:numId w:val="1"/>
        </w:numPr>
        <w:ind w:right="736" w:hanging="360"/>
      </w:pPr>
      <w:r>
        <w:t xml:space="preserve">Data about research participants through intervention or interaction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Identifiable, private information about research participants </w:t>
      </w:r>
    </w:p>
    <w:p w14:paraId="7B91EC7C" w14:textId="77777777" w:rsidR="00715AD3" w:rsidRDefault="00790780">
      <w:pPr>
        <w:numPr>
          <w:ilvl w:val="0"/>
          <w:numId w:val="1"/>
        </w:numPr>
        <w:ind w:right="736" w:hanging="360"/>
      </w:pPr>
      <w:r>
        <w:t xml:space="preserve">Informed consent of research participants. </w:t>
      </w:r>
    </w:p>
    <w:p w14:paraId="282A4A82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797921A2" w14:textId="77777777" w:rsidR="00715AD3" w:rsidRDefault="00790780">
      <w:pPr>
        <w:ind w:left="-5"/>
      </w:pPr>
      <w:r>
        <w:t xml:space="preserve">Note: An organization is also engaged whenever it is a direct recipient of a federal award to support the research.  UMSL IRB uses the </w:t>
      </w:r>
      <w:hyperlink r:id="rId21">
        <w:r>
          <w:rPr>
            <w:color w:val="0000FF"/>
            <w:u w:val="single" w:color="0000FF"/>
          </w:rPr>
          <w:t>OHRP Guidance on Engagement</w:t>
        </w:r>
      </w:hyperlink>
      <w:hyperlink r:id="rId22">
        <w:r>
          <w:t xml:space="preserve"> </w:t>
        </w:r>
      </w:hyperlink>
      <w:r>
        <w:t xml:space="preserve">in making determinations regarding engagement. </w:t>
      </w:r>
    </w:p>
    <w:p w14:paraId="370C3DD6" w14:textId="77777777" w:rsidR="00715AD3" w:rsidRDefault="00790780">
      <w:pPr>
        <w:spacing w:line="259" w:lineRule="auto"/>
        <w:ind w:left="0" w:firstLine="0"/>
      </w:pPr>
      <w:r>
        <w:rPr>
          <w:b/>
        </w:rPr>
        <w:t xml:space="preserve"> </w:t>
      </w:r>
    </w:p>
    <w:p w14:paraId="6BAD097D" w14:textId="77777777" w:rsidR="00715AD3" w:rsidRDefault="00790780">
      <w:pPr>
        <w:spacing w:line="259" w:lineRule="auto"/>
        <w:ind w:left="0" w:firstLine="0"/>
      </w:pPr>
      <w:r>
        <w:rPr>
          <w:b/>
        </w:rPr>
        <w:t xml:space="preserve"> </w:t>
      </w:r>
    </w:p>
    <w:p w14:paraId="6851FCF0" w14:textId="77777777" w:rsidR="00715AD3" w:rsidRDefault="00790780">
      <w:pPr>
        <w:spacing w:line="259" w:lineRule="auto"/>
        <w:ind w:left="0" w:firstLine="0"/>
      </w:pPr>
      <w:r>
        <w:rPr>
          <w:b/>
        </w:rPr>
        <w:t xml:space="preserve"> </w:t>
      </w:r>
    </w:p>
    <w:p w14:paraId="2C617F32" w14:textId="77777777" w:rsidR="00715AD3" w:rsidRDefault="00790780">
      <w:pPr>
        <w:spacing w:line="259" w:lineRule="auto"/>
        <w:ind w:left="0" w:firstLine="0"/>
      </w:pPr>
      <w:r>
        <w:rPr>
          <w:b/>
        </w:rPr>
        <w:lastRenderedPageBreak/>
        <w:t xml:space="preserve"> </w:t>
      </w:r>
    </w:p>
    <w:p w14:paraId="33596C3E" w14:textId="77777777" w:rsidR="00715AD3" w:rsidRDefault="00790780">
      <w:pPr>
        <w:spacing w:line="259" w:lineRule="auto"/>
        <w:ind w:left="0" w:firstLine="0"/>
      </w:pPr>
      <w:r>
        <w:rPr>
          <w:b/>
        </w:rPr>
        <w:t xml:space="preserve"> </w:t>
      </w:r>
    </w:p>
    <w:p w14:paraId="089A6084" w14:textId="77777777" w:rsidR="00715AD3" w:rsidRDefault="00790780">
      <w:pPr>
        <w:spacing w:line="259" w:lineRule="auto"/>
        <w:ind w:left="0" w:firstLine="0"/>
      </w:pPr>
      <w:r>
        <w:rPr>
          <w:noProof/>
        </w:rPr>
        <w:drawing>
          <wp:inline distT="0" distB="0" distL="0" distR="0" wp14:anchorId="71EB8AA9" wp14:editId="70A6DD19">
            <wp:extent cx="1718136" cy="466090"/>
            <wp:effectExtent l="0" t="0" r="0" b="0"/>
            <wp:docPr id="122" name="Picture 122" descr="A black and white UMS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black and white UMSL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8136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14:paraId="25756133" w14:textId="77777777" w:rsidR="00715AD3" w:rsidRDefault="00790780">
      <w:pPr>
        <w:spacing w:line="259" w:lineRule="auto"/>
        <w:ind w:left="0" w:firstLine="0"/>
      </w:pPr>
      <w:r>
        <w:rPr>
          <w:b/>
        </w:rPr>
        <w:t xml:space="preserve"> </w:t>
      </w:r>
    </w:p>
    <w:p w14:paraId="231EB2AD" w14:textId="77777777" w:rsidR="00715AD3" w:rsidRDefault="00790780">
      <w:pPr>
        <w:spacing w:line="259" w:lineRule="auto"/>
        <w:ind w:left="0" w:firstLine="0"/>
      </w:pPr>
      <w:r>
        <w:rPr>
          <w:b/>
        </w:rPr>
        <w:t xml:space="preserve"> </w:t>
      </w:r>
    </w:p>
    <w:p w14:paraId="6BB965D2" w14:textId="77777777" w:rsidR="00715AD3" w:rsidRDefault="00790780">
      <w:pPr>
        <w:pStyle w:val="Heading1"/>
        <w:ind w:left="225" w:hanging="240"/>
      </w:pPr>
      <w:r>
        <w:t xml:space="preserve">Non-UMSL Researcher Conducting Research at UMSL </w:t>
      </w:r>
    </w:p>
    <w:p w14:paraId="4284145D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600DFCFD" w14:textId="77777777" w:rsidR="00715AD3" w:rsidRDefault="00790780">
      <w:pPr>
        <w:ind w:left="-5"/>
      </w:pPr>
      <w:r>
        <w:t xml:space="preserve">Non-UMSL (external) researchers who propose to do research using UMSL facilities, resources, or private information, or who aim to include UMSL agents as study subjects, and UMSL agents are </w:t>
      </w:r>
      <w:r>
        <w:rPr>
          <w:u w:val="single" w:color="000000"/>
        </w:rPr>
        <w:t>not</w:t>
      </w:r>
      <w:r>
        <w:t xml:space="preserve"> engaged in conducting the research, should follow these requirements: </w:t>
      </w:r>
    </w:p>
    <w:p w14:paraId="13AF6183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4A3C8BC5" w14:textId="77777777" w:rsidR="00715AD3" w:rsidRDefault="00790780">
      <w:pPr>
        <w:numPr>
          <w:ilvl w:val="0"/>
          <w:numId w:val="2"/>
        </w:numPr>
        <w:ind w:hanging="360"/>
      </w:pPr>
      <w:r>
        <w:t xml:space="preserve">Submit a copy of study materials (external IRB Application, IRB approval letter and study instruments) and details regarding recruitment and research procedures taking place at UMSL to </w:t>
      </w:r>
      <w:r>
        <w:rPr>
          <w:color w:val="0563C1"/>
          <w:u w:val="single" w:color="0563C1"/>
        </w:rPr>
        <w:t>danielle.hunter@umsl.edu</w:t>
      </w:r>
      <w:r>
        <w:t xml:space="preserve">. </w:t>
      </w:r>
    </w:p>
    <w:p w14:paraId="0FCAF2B7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77CE0A67" w14:textId="77777777" w:rsidR="00715AD3" w:rsidRDefault="00790780">
      <w:pPr>
        <w:numPr>
          <w:ilvl w:val="0"/>
          <w:numId w:val="2"/>
        </w:numPr>
        <w:ind w:hanging="360"/>
      </w:pPr>
      <w:r>
        <w:t xml:space="preserve">Do not begin research at UMSL until UMSL IRB has </w:t>
      </w:r>
      <w:proofErr w:type="gramStart"/>
      <w:r>
        <w:t>confirmed</w:t>
      </w:r>
      <w:proofErr w:type="gramEnd"/>
      <w:r>
        <w:t xml:space="preserve"> local IRB review is not required. </w:t>
      </w:r>
    </w:p>
    <w:p w14:paraId="36720CE7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5065BA95" w14:textId="77777777" w:rsidR="00715AD3" w:rsidRDefault="00790780">
      <w:pPr>
        <w:numPr>
          <w:ilvl w:val="0"/>
          <w:numId w:val="2"/>
        </w:numPr>
        <w:ind w:hanging="360"/>
      </w:pPr>
      <w:r>
        <w:t xml:space="preserve">Once UMSL IRB indicates it is acceptable to conduct the research at UMSL, an acknowledgment letter will be issued. The Office of Institutional Research will work with the non-UMSL researcher to access the appropriate population* to send out research materials. If seeking to recruit faculty or students from a specific unit, it will be necessary to pursue the appropriate approvals/letters of support from any cooperating UMSL agents or offices (e.g., Department Chair approval if seeking to recruit unit faculty). </w:t>
      </w:r>
    </w:p>
    <w:p w14:paraId="69B3B69A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2E710EEF" w14:textId="77777777" w:rsidR="00715AD3" w:rsidRDefault="00790780">
      <w:pPr>
        <w:ind w:left="-5"/>
      </w:pPr>
      <w:r>
        <w:t xml:space="preserve">Note: If UMSL agents are determined to be engaged in the research, UMSL IRB submission may be required. </w:t>
      </w:r>
    </w:p>
    <w:p w14:paraId="4256AA43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11CE921A" w14:textId="77777777" w:rsidR="00715AD3" w:rsidRDefault="00790780">
      <w:pPr>
        <w:ind w:left="-5"/>
      </w:pPr>
      <w:r>
        <w:t xml:space="preserve">*The research population will not include students who are 18 and up that have invoked </w:t>
      </w:r>
      <w:hyperlink r:id="rId23">
        <w:r>
          <w:rPr>
            <w:color w:val="0563C1"/>
            <w:u w:val="single" w:color="0563C1"/>
          </w:rPr>
          <w:t>FERPA</w:t>
        </w:r>
      </w:hyperlink>
      <w:hyperlink r:id="rId24">
        <w:r>
          <w:t xml:space="preserve"> </w:t>
        </w:r>
      </w:hyperlink>
      <w:r>
        <w:t xml:space="preserve">or students who are part of the high school advanced credit program.   </w:t>
      </w:r>
    </w:p>
    <w:p w14:paraId="3CC7A70B" w14:textId="77777777" w:rsidR="00715AD3" w:rsidRDefault="00790780">
      <w:pPr>
        <w:spacing w:line="259" w:lineRule="auto"/>
        <w:ind w:left="0" w:firstLine="0"/>
      </w:pPr>
      <w:r>
        <w:t xml:space="preserve"> </w:t>
      </w:r>
    </w:p>
    <w:p w14:paraId="5260224B" w14:textId="77777777" w:rsidR="00715AD3" w:rsidRDefault="00790780">
      <w:pPr>
        <w:spacing w:line="259" w:lineRule="auto"/>
        <w:ind w:left="0" w:firstLine="0"/>
      </w:pPr>
      <w:r>
        <w:rPr>
          <w:rFonts w:ascii="Cambria" w:eastAsia="Cambria" w:hAnsi="Cambria" w:cs="Cambria"/>
          <w:b/>
        </w:rPr>
        <w:t xml:space="preserve"> </w:t>
      </w:r>
    </w:p>
    <w:sectPr w:rsidR="00715AD3">
      <w:footerReference w:type="default" r:id="rId25"/>
      <w:pgSz w:w="12240" w:h="15840"/>
      <w:pgMar w:top="720" w:right="1440" w:bottom="16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9D91" w14:textId="77777777" w:rsidR="009A119D" w:rsidRDefault="009A119D" w:rsidP="009A119D">
      <w:pPr>
        <w:spacing w:line="240" w:lineRule="auto"/>
      </w:pPr>
      <w:r>
        <w:separator/>
      </w:r>
    </w:p>
  </w:endnote>
  <w:endnote w:type="continuationSeparator" w:id="0">
    <w:p w14:paraId="581FF0BA" w14:textId="77777777" w:rsidR="009A119D" w:rsidRDefault="009A119D" w:rsidP="009A1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4DB5" w14:textId="06AC2B0B" w:rsidR="009A119D" w:rsidRDefault="009A119D" w:rsidP="009A119D">
    <w:pPr>
      <w:pStyle w:val="Footer"/>
      <w:jc w:val="right"/>
    </w:pPr>
    <w:r>
      <w:t>V: 03/26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74C6" w14:textId="77777777" w:rsidR="009A119D" w:rsidRDefault="009A119D" w:rsidP="009A119D">
      <w:pPr>
        <w:spacing w:line="240" w:lineRule="auto"/>
      </w:pPr>
      <w:r>
        <w:separator/>
      </w:r>
    </w:p>
  </w:footnote>
  <w:footnote w:type="continuationSeparator" w:id="0">
    <w:p w14:paraId="14630A7D" w14:textId="77777777" w:rsidR="009A119D" w:rsidRDefault="009A119D" w:rsidP="009A1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3B3F"/>
    <w:multiLevelType w:val="hybridMultilevel"/>
    <w:tmpl w:val="573E618A"/>
    <w:lvl w:ilvl="0" w:tplc="61521BF2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00C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07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67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64D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47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E44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8A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E41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53F1C"/>
    <w:multiLevelType w:val="hybridMultilevel"/>
    <w:tmpl w:val="97A2CF3A"/>
    <w:lvl w:ilvl="0" w:tplc="A054224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6325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FA6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0189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8C5D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A0D5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8E6F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21C6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A8FE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871250"/>
    <w:multiLevelType w:val="hybridMultilevel"/>
    <w:tmpl w:val="962A707E"/>
    <w:lvl w:ilvl="0" w:tplc="2DD46B9A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8981C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EAA1A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A69B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E84F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AA5CE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26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C943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839A0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363186">
    <w:abstractNumId w:val="2"/>
  </w:num>
  <w:num w:numId="2" w16cid:durableId="1042050320">
    <w:abstractNumId w:val="1"/>
  </w:num>
  <w:num w:numId="3" w16cid:durableId="185553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D3"/>
    <w:rsid w:val="0015181B"/>
    <w:rsid w:val="00257FCC"/>
    <w:rsid w:val="00276508"/>
    <w:rsid w:val="00447AEA"/>
    <w:rsid w:val="004E6799"/>
    <w:rsid w:val="00715AD3"/>
    <w:rsid w:val="00790780"/>
    <w:rsid w:val="009A119D"/>
    <w:rsid w:val="00F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8A06"/>
  <w15:docId w15:val="{1F568731-9888-43B2-AC5A-FEEC5E18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A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7AE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A11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9D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A11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9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ccessdata.fda.gov/scripts/cdrh/cfdocs/cfcfr/CFRSearch.cfm?fr=50.3" TargetMode="External"/><Relationship Id="rId18" Type="http://schemas.openxmlformats.org/officeDocument/2006/relationships/hyperlink" Target="http://www.hhs.gov/ohrp/humansubjects/guidance/45cfr46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hhs.gov/ohrp/policy/engage08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hhs.gov/ohrp/humansubjects/guidance/45cfr46.html" TargetMode="External"/><Relationship Id="rId17" Type="http://schemas.openxmlformats.org/officeDocument/2006/relationships/hyperlink" Target="http://www.hhs.gov/ohrp/humansubjects/guidance/45cfr46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essdata.fda.gov/scripts/cdrh/cfdocs/cfcfr/CFRSearch.cfm?fr=50.3" TargetMode="External"/><Relationship Id="rId20" Type="http://schemas.openxmlformats.org/officeDocument/2006/relationships/hyperlink" Target="http://www.accessdata.fda.gov/scripts/cdrh/cfdocs/cfcfr/CFRSearch.cfm?fr=50.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hrp/humansubjects/guidance/45cfr46.html" TargetMode="External"/><Relationship Id="rId24" Type="http://schemas.openxmlformats.org/officeDocument/2006/relationships/hyperlink" Target="https://www2.ed.gov/policy/gen/guid/fpco/ferpa/index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ccessdata.fda.gov/scripts/cdrh/cfdocs/cfcfr/CFRSearch.cfm?fr=50.3" TargetMode="External"/><Relationship Id="rId23" Type="http://schemas.openxmlformats.org/officeDocument/2006/relationships/hyperlink" Target="https://www2.ed.gov/policy/gen/guid/fpco/ferpa/index.html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://www.accessdata.fda.gov/scripts/cdrh/cfdocs/cfcfr/CFRSearch.cfm?fr=50.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ccessdata.fda.gov/scripts/cdrh/cfdocs/cfcfr/CFRSearch.cfm?fr=50.3" TargetMode="External"/><Relationship Id="rId22" Type="http://schemas.openxmlformats.org/officeDocument/2006/relationships/hyperlink" Target="http://www.hhs.gov/ohrp/policy/engage08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2e44c-a0ae-4baa-b8c2-6bcc72521363" xsi:nil="true"/>
    <lcf76f155ced4ddcb4097134ff3c332f xmlns="8c0d8199-8f64-447b-bb03-65dd6c48e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932D7241D6742886F4A3332512717" ma:contentTypeVersion="16" ma:contentTypeDescription="Create a new document." ma:contentTypeScope="" ma:versionID="ff9ae7b047b6d9742693d88f14368206">
  <xsd:schema xmlns:xsd="http://www.w3.org/2001/XMLSchema" xmlns:xs="http://www.w3.org/2001/XMLSchema" xmlns:p="http://schemas.microsoft.com/office/2006/metadata/properties" xmlns:ns2="8c0d8199-8f64-447b-bb03-65dd6c48e846" xmlns:ns3="3c82e44c-a0ae-4baa-b8c2-6bcc72521363" targetNamespace="http://schemas.microsoft.com/office/2006/metadata/properties" ma:root="true" ma:fieldsID="6d56debba44a14c61a2d1abb89171f61" ns2:_="" ns3:_="">
    <xsd:import namespace="8c0d8199-8f64-447b-bb03-65dd6c48e846"/>
    <xsd:import namespace="3c82e44c-a0ae-4baa-b8c2-6bcc72521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8199-8f64-447b-bb03-65dd6c48e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2e44c-a0ae-4baa-b8c2-6bcc725213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657b2e-ada2-42e6-8d67-c61cdefbea76}" ma:internalName="TaxCatchAll" ma:showField="CatchAllData" ma:web="3c82e44c-a0ae-4baa-b8c2-6bcc72521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B656-6502-4032-80D1-2B02F984DBD9}">
  <ds:schemaRefs>
    <ds:schemaRef ds:uri="http://schemas.microsoft.com/office/2006/metadata/properties"/>
    <ds:schemaRef ds:uri="http://schemas.microsoft.com/office/infopath/2007/PartnerControls"/>
    <ds:schemaRef ds:uri="3c82e44c-a0ae-4baa-b8c2-6bcc72521363"/>
    <ds:schemaRef ds:uri="8c0d8199-8f64-447b-bb03-65dd6c48e846"/>
  </ds:schemaRefs>
</ds:datastoreItem>
</file>

<file path=customXml/itemProps2.xml><?xml version="1.0" encoding="utf-8"?>
<ds:datastoreItem xmlns:ds="http://schemas.openxmlformats.org/officeDocument/2006/customXml" ds:itemID="{A45B1A0E-3BEA-4DD3-AEEF-4F0D61CA3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55444-8CD4-4F44-9AD9-A1348C18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8199-8f64-447b-bb03-65dd6c48e846"/>
    <ds:schemaRef ds:uri="3c82e44c-a0ae-4baa-b8c2-6bcc72521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Hunter</dc:creator>
  <cp:keywords/>
  <cp:lastModifiedBy>Kulasekera, Jenika Sulakshini (UMSL-Student)</cp:lastModifiedBy>
  <cp:revision>3</cp:revision>
  <dcterms:created xsi:type="dcterms:W3CDTF">2026-02-16T17:41:00Z</dcterms:created>
  <dcterms:modified xsi:type="dcterms:W3CDTF">2026-03-19T15:25:00Z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0x010100245932D7241D6742886F4A3332512717</vt:lpwstr>
  </property>
  <property fmtid="{D5CDD505-2E9C-101B-9397-08002B2CF9AE}" pid="3" name="MediaServiceImageTags">
    <vt:lpwstr/>
  </property>
</Properties>
</file>