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E0294" w:rsidRDefault="00000000">
      <w:pPr>
        <w:spacing w:after="0" w:line="259" w:lineRule="auto"/>
        <w:ind w:left="1" w:right="0" w:firstLine="0"/>
        <w:jc w:val="center"/>
      </w:pPr>
      <w:r>
        <w:rPr>
          <w:b/>
          <w:sz w:val="32"/>
        </w:rPr>
        <w:t>Konstadina Spanoudakis</w:t>
      </w:r>
      <w:r>
        <w:rPr>
          <w:sz w:val="32"/>
        </w:rPr>
        <w:t xml:space="preserve"> </w:t>
      </w:r>
    </w:p>
    <w:p w:rsidR="009E0294" w:rsidRDefault="00000000">
      <w:pPr>
        <w:spacing w:after="6" w:line="253" w:lineRule="auto"/>
        <w:ind w:left="2119" w:right="2116"/>
        <w:jc w:val="center"/>
      </w:pPr>
      <w:r>
        <w:t xml:space="preserve">University of Missouri – St. Louis </w:t>
      </w:r>
    </w:p>
    <w:p w:rsidR="009E0294" w:rsidRDefault="00000000">
      <w:pPr>
        <w:spacing w:after="6" w:line="253" w:lineRule="auto"/>
        <w:ind w:left="2119" w:right="2111"/>
        <w:jc w:val="center"/>
      </w:pPr>
      <w:r>
        <w:t xml:space="preserve">Department of Criminology and Criminal Justice </w:t>
      </w:r>
    </w:p>
    <w:p w:rsidR="009E0294" w:rsidRDefault="00000000">
      <w:pPr>
        <w:spacing w:after="227" w:line="253" w:lineRule="auto"/>
        <w:ind w:left="2119" w:right="2134"/>
        <w:jc w:val="center"/>
      </w:pPr>
      <w:r>
        <w:t xml:space="preserve">537 Lucas Hall, St. Louis MO 63121 ksnzm@umsystem.edu </w:t>
      </w:r>
    </w:p>
    <w:p w:rsidR="009E0294" w:rsidRDefault="00000000">
      <w:pPr>
        <w:pStyle w:val="Heading1"/>
        <w:ind w:left="0"/>
      </w:pPr>
      <w:r>
        <w:t>EDUCATION</w:t>
      </w:r>
      <w:r>
        <w:rPr>
          <w:b w:val="0"/>
          <w:color w:val="000000"/>
        </w:rPr>
        <w:t xml:space="preserve"> </w:t>
      </w:r>
    </w:p>
    <w:p w:rsidR="009E0294" w:rsidRDefault="00000000">
      <w:pPr>
        <w:spacing w:after="159" w:line="259" w:lineRule="auto"/>
        <w:ind w:left="-25" w:right="-30" w:firstLine="0"/>
      </w:pPr>
      <w:r>
        <w:rPr>
          <w:rFonts w:ascii="Calibri" w:eastAsia="Calibri" w:hAnsi="Calibri" w:cs="Calibri"/>
          <w:noProof/>
          <w:sz w:val="22"/>
        </w:rPr>
        <mc:AlternateContent>
          <mc:Choice Requires="wpg">
            <w:drawing>
              <wp:inline distT="0" distB="0" distL="0" distR="0">
                <wp:extent cx="6441441" cy="9525"/>
                <wp:effectExtent l="0" t="0" r="0" b="0"/>
                <wp:docPr id="4726" name="Group 4726"/>
                <wp:cNvGraphicFramePr/>
                <a:graphic xmlns:a="http://schemas.openxmlformats.org/drawingml/2006/main">
                  <a:graphicData uri="http://schemas.microsoft.com/office/word/2010/wordprocessingGroup">
                    <wpg:wgp>
                      <wpg:cNvGrpSpPr/>
                      <wpg:grpSpPr>
                        <a:xfrm>
                          <a:off x="0" y="0"/>
                          <a:ext cx="6441441" cy="9525"/>
                          <a:chOff x="0" y="0"/>
                          <a:chExt cx="6441441" cy="9525"/>
                        </a:xfrm>
                      </wpg:grpSpPr>
                      <wps:wsp>
                        <wps:cNvPr id="6492" name="Shape 6492"/>
                        <wps:cNvSpPr/>
                        <wps:spPr>
                          <a:xfrm>
                            <a:off x="0" y="0"/>
                            <a:ext cx="6441441" cy="9525"/>
                          </a:xfrm>
                          <a:custGeom>
                            <a:avLst/>
                            <a:gdLst/>
                            <a:ahLst/>
                            <a:cxnLst/>
                            <a:rect l="0" t="0" r="0" b="0"/>
                            <a:pathLst>
                              <a:path w="6441441" h="9525">
                                <a:moveTo>
                                  <a:pt x="0" y="0"/>
                                </a:moveTo>
                                <a:lnTo>
                                  <a:pt x="6441441" y="0"/>
                                </a:lnTo>
                                <a:lnTo>
                                  <a:pt x="6441441" y="9525"/>
                                </a:lnTo>
                                <a:lnTo>
                                  <a:pt x="0" y="9525"/>
                                </a:lnTo>
                                <a:lnTo>
                                  <a:pt x="0" y="0"/>
                                </a:lnTo>
                              </a:path>
                            </a:pathLst>
                          </a:custGeom>
                          <a:ln w="0" cap="flat">
                            <a:miter lim="127000"/>
                          </a:ln>
                        </wps:spPr>
                        <wps:style>
                          <a:lnRef idx="0">
                            <a:srgbClr val="000000">
                              <a:alpha val="0"/>
                            </a:srgbClr>
                          </a:lnRef>
                          <a:fillRef idx="1">
                            <a:srgbClr val="444444"/>
                          </a:fillRef>
                          <a:effectRef idx="0">
                            <a:scrgbClr r="0" g="0" b="0"/>
                          </a:effectRef>
                          <a:fontRef idx="none"/>
                        </wps:style>
                        <wps:bodyPr/>
                      </wps:wsp>
                    </wpg:wgp>
                  </a:graphicData>
                </a:graphic>
              </wp:inline>
            </w:drawing>
          </mc:Choice>
          <mc:Fallback xmlns:a="http://schemas.openxmlformats.org/drawingml/2006/main">
            <w:pict>
              <v:group id="Group 4726" style="width:507.2pt;height:0.75pt;mso-position-horizontal-relative:char;mso-position-vertical-relative:line" coordsize="64414,95">
                <v:shape id="Shape 6493" style="position:absolute;width:64414;height:95;left:0;top:0;" coordsize="6441441,9525" path="m0,0l6441441,0l6441441,9525l0,9525l0,0">
                  <v:stroke weight="0pt" endcap="flat" joinstyle="miter" miterlimit="10" on="false" color="#000000" opacity="0"/>
                  <v:fill on="true" color="#444444"/>
                </v:shape>
              </v:group>
            </w:pict>
          </mc:Fallback>
        </mc:AlternateContent>
      </w:r>
    </w:p>
    <w:p w:rsidR="009E0294" w:rsidRDefault="00000000">
      <w:pPr>
        <w:spacing w:after="87"/>
        <w:ind w:left="0" w:right="0"/>
      </w:pPr>
      <w:r>
        <w:t xml:space="preserve">Ph.D., Criminology and Criminal Justice, University of Missouri – St. Louis              Expected May 2027 Committee: Lee Slocum (Chair), Rebecca Lennox, Kyle Thomas, Karen Heimer  </w:t>
      </w:r>
    </w:p>
    <w:p w:rsidR="009E0294" w:rsidRDefault="00000000">
      <w:pPr>
        <w:ind w:left="0" w:right="0"/>
      </w:pPr>
      <w:r>
        <w:t xml:space="preserve">M.A., Criminology and Criminal Justice, University of Missouri – St. Louis                     December 2023 </w:t>
      </w:r>
    </w:p>
    <w:p w:rsidR="009E0294" w:rsidRDefault="00000000">
      <w:pPr>
        <w:spacing w:after="229"/>
        <w:ind w:left="0" w:right="0"/>
      </w:pPr>
      <w:r>
        <w:t xml:space="preserve">B.A., Sociology; Criminology, Law and Justice, University of Iowa                                  December 2020 </w:t>
      </w:r>
    </w:p>
    <w:p w:rsidR="009E0294" w:rsidRDefault="00000000">
      <w:pPr>
        <w:pStyle w:val="Heading1"/>
        <w:ind w:left="0"/>
      </w:pPr>
      <w:r>
        <w:t>RESEARCH INTERESTS</w:t>
      </w:r>
      <w:r>
        <w:rPr>
          <w:b w:val="0"/>
          <w:color w:val="000000"/>
        </w:rPr>
        <w:t xml:space="preserve"> </w:t>
      </w:r>
    </w:p>
    <w:p w:rsidR="009E0294" w:rsidRDefault="00000000">
      <w:pPr>
        <w:spacing w:after="159" w:line="259" w:lineRule="auto"/>
        <w:ind w:left="-25" w:right="-30" w:firstLine="0"/>
      </w:pPr>
      <w:r>
        <w:rPr>
          <w:rFonts w:ascii="Calibri" w:eastAsia="Calibri" w:hAnsi="Calibri" w:cs="Calibri"/>
          <w:noProof/>
          <w:sz w:val="22"/>
        </w:rPr>
        <mc:AlternateContent>
          <mc:Choice Requires="wpg">
            <w:drawing>
              <wp:inline distT="0" distB="0" distL="0" distR="0">
                <wp:extent cx="6441441" cy="9525"/>
                <wp:effectExtent l="0" t="0" r="0" b="0"/>
                <wp:docPr id="4727" name="Group 4727"/>
                <wp:cNvGraphicFramePr/>
                <a:graphic xmlns:a="http://schemas.openxmlformats.org/drawingml/2006/main">
                  <a:graphicData uri="http://schemas.microsoft.com/office/word/2010/wordprocessingGroup">
                    <wpg:wgp>
                      <wpg:cNvGrpSpPr/>
                      <wpg:grpSpPr>
                        <a:xfrm>
                          <a:off x="0" y="0"/>
                          <a:ext cx="6441441" cy="9525"/>
                          <a:chOff x="0" y="0"/>
                          <a:chExt cx="6441441" cy="9525"/>
                        </a:xfrm>
                      </wpg:grpSpPr>
                      <wps:wsp>
                        <wps:cNvPr id="6494" name="Shape 6494"/>
                        <wps:cNvSpPr/>
                        <wps:spPr>
                          <a:xfrm>
                            <a:off x="0" y="0"/>
                            <a:ext cx="6441441" cy="9525"/>
                          </a:xfrm>
                          <a:custGeom>
                            <a:avLst/>
                            <a:gdLst/>
                            <a:ahLst/>
                            <a:cxnLst/>
                            <a:rect l="0" t="0" r="0" b="0"/>
                            <a:pathLst>
                              <a:path w="6441441" h="9525">
                                <a:moveTo>
                                  <a:pt x="0" y="0"/>
                                </a:moveTo>
                                <a:lnTo>
                                  <a:pt x="6441441" y="0"/>
                                </a:lnTo>
                                <a:lnTo>
                                  <a:pt x="6441441" y="9525"/>
                                </a:lnTo>
                                <a:lnTo>
                                  <a:pt x="0" y="9525"/>
                                </a:lnTo>
                                <a:lnTo>
                                  <a:pt x="0" y="0"/>
                                </a:lnTo>
                              </a:path>
                            </a:pathLst>
                          </a:custGeom>
                          <a:ln w="0" cap="flat">
                            <a:miter lim="127000"/>
                          </a:ln>
                        </wps:spPr>
                        <wps:style>
                          <a:lnRef idx="0">
                            <a:srgbClr val="000000">
                              <a:alpha val="0"/>
                            </a:srgbClr>
                          </a:lnRef>
                          <a:fillRef idx="1">
                            <a:srgbClr val="444444"/>
                          </a:fillRef>
                          <a:effectRef idx="0">
                            <a:scrgbClr r="0" g="0" b="0"/>
                          </a:effectRef>
                          <a:fontRef idx="none"/>
                        </wps:style>
                        <wps:bodyPr/>
                      </wps:wsp>
                    </wpg:wgp>
                  </a:graphicData>
                </a:graphic>
              </wp:inline>
            </w:drawing>
          </mc:Choice>
          <mc:Fallback xmlns:a="http://schemas.openxmlformats.org/drawingml/2006/main">
            <w:pict>
              <v:group id="Group 4727" style="width:507.2pt;height:0.75pt;mso-position-horizontal-relative:char;mso-position-vertical-relative:line" coordsize="64414,95">
                <v:shape id="Shape 6495" style="position:absolute;width:64414;height:95;left:0;top:0;" coordsize="6441441,9525" path="m0,0l6441441,0l6441441,9525l0,9525l0,0">
                  <v:stroke weight="0pt" endcap="flat" joinstyle="miter" miterlimit="10" on="false" color="#000000" opacity="0"/>
                  <v:fill on="true" color="#444444"/>
                </v:shape>
              </v:group>
            </w:pict>
          </mc:Fallback>
        </mc:AlternateContent>
      </w:r>
    </w:p>
    <w:p w:rsidR="009E0294" w:rsidRDefault="00000000">
      <w:pPr>
        <w:spacing w:after="230"/>
        <w:ind w:left="0" w:right="0"/>
      </w:pPr>
      <w:r>
        <w:t xml:space="preserve">Corrections policy, qualitative methods, correctional officer deviance, discretionary decision making </w:t>
      </w:r>
    </w:p>
    <w:p w:rsidR="009E0294" w:rsidRDefault="00000000">
      <w:pPr>
        <w:pStyle w:val="Heading1"/>
        <w:ind w:left="0"/>
      </w:pPr>
      <w:r>
        <w:t>PUBLICATIONS</w:t>
      </w:r>
      <w:r>
        <w:rPr>
          <w:b w:val="0"/>
          <w:color w:val="000000"/>
        </w:rPr>
        <w:t xml:space="preserve"> </w:t>
      </w:r>
    </w:p>
    <w:p w:rsidR="009E0294" w:rsidRDefault="00000000">
      <w:pPr>
        <w:spacing w:after="162" w:line="259" w:lineRule="auto"/>
        <w:ind w:left="-25" w:right="-30" w:firstLine="0"/>
      </w:pPr>
      <w:r>
        <w:rPr>
          <w:rFonts w:ascii="Calibri" w:eastAsia="Calibri" w:hAnsi="Calibri" w:cs="Calibri"/>
          <w:noProof/>
          <w:sz w:val="22"/>
        </w:rPr>
        <mc:AlternateContent>
          <mc:Choice Requires="wpg">
            <w:drawing>
              <wp:inline distT="0" distB="0" distL="0" distR="0">
                <wp:extent cx="6441441" cy="9525"/>
                <wp:effectExtent l="0" t="0" r="0" b="0"/>
                <wp:docPr id="4728" name="Group 4728"/>
                <wp:cNvGraphicFramePr/>
                <a:graphic xmlns:a="http://schemas.openxmlformats.org/drawingml/2006/main">
                  <a:graphicData uri="http://schemas.microsoft.com/office/word/2010/wordprocessingGroup">
                    <wpg:wgp>
                      <wpg:cNvGrpSpPr/>
                      <wpg:grpSpPr>
                        <a:xfrm>
                          <a:off x="0" y="0"/>
                          <a:ext cx="6441441" cy="9525"/>
                          <a:chOff x="0" y="0"/>
                          <a:chExt cx="6441441" cy="9525"/>
                        </a:xfrm>
                      </wpg:grpSpPr>
                      <wps:wsp>
                        <wps:cNvPr id="6496" name="Shape 6496"/>
                        <wps:cNvSpPr/>
                        <wps:spPr>
                          <a:xfrm>
                            <a:off x="0" y="0"/>
                            <a:ext cx="6441441" cy="9525"/>
                          </a:xfrm>
                          <a:custGeom>
                            <a:avLst/>
                            <a:gdLst/>
                            <a:ahLst/>
                            <a:cxnLst/>
                            <a:rect l="0" t="0" r="0" b="0"/>
                            <a:pathLst>
                              <a:path w="6441441" h="9525">
                                <a:moveTo>
                                  <a:pt x="0" y="0"/>
                                </a:moveTo>
                                <a:lnTo>
                                  <a:pt x="6441441" y="0"/>
                                </a:lnTo>
                                <a:lnTo>
                                  <a:pt x="6441441" y="9525"/>
                                </a:lnTo>
                                <a:lnTo>
                                  <a:pt x="0" y="9525"/>
                                </a:lnTo>
                                <a:lnTo>
                                  <a:pt x="0" y="0"/>
                                </a:lnTo>
                              </a:path>
                            </a:pathLst>
                          </a:custGeom>
                          <a:ln w="0" cap="flat">
                            <a:miter lim="127000"/>
                          </a:ln>
                        </wps:spPr>
                        <wps:style>
                          <a:lnRef idx="0">
                            <a:srgbClr val="000000">
                              <a:alpha val="0"/>
                            </a:srgbClr>
                          </a:lnRef>
                          <a:fillRef idx="1">
                            <a:srgbClr val="444444"/>
                          </a:fillRef>
                          <a:effectRef idx="0">
                            <a:scrgbClr r="0" g="0" b="0"/>
                          </a:effectRef>
                          <a:fontRef idx="none"/>
                        </wps:style>
                        <wps:bodyPr/>
                      </wps:wsp>
                    </wpg:wgp>
                  </a:graphicData>
                </a:graphic>
              </wp:inline>
            </w:drawing>
          </mc:Choice>
          <mc:Fallback xmlns:a="http://schemas.openxmlformats.org/drawingml/2006/main">
            <w:pict>
              <v:group id="Group 4728" style="width:507.2pt;height:0.75pt;mso-position-horizontal-relative:char;mso-position-vertical-relative:line" coordsize="64414,95">
                <v:shape id="Shape 6497" style="position:absolute;width:64414;height:95;left:0;top:0;" coordsize="6441441,9525" path="m0,0l6441441,0l6441441,9525l0,9525l0,0">
                  <v:stroke weight="0pt" endcap="flat" joinstyle="miter" miterlimit="10" on="false" color="#000000" opacity="0"/>
                  <v:fill on="true" color="#444444"/>
                </v:shape>
              </v:group>
            </w:pict>
          </mc:Fallback>
        </mc:AlternateContent>
      </w:r>
    </w:p>
    <w:p w:rsidR="009E0294" w:rsidRDefault="00000000">
      <w:pPr>
        <w:pStyle w:val="Heading2"/>
        <w:spacing w:after="215"/>
        <w:ind w:left="0"/>
      </w:pPr>
      <w:r>
        <w:t xml:space="preserve">Refereed Journal Articles </w:t>
      </w:r>
    </w:p>
    <w:p w:rsidR="009E0294" w:rsidRDefault="00000000">
      <w:pPr>
        <w:spacing w:after="11"/>
        <w:ind w:left="0" w:right="0"/>
      </w:pPr>
      <w:r>
        <w:rPr>
          <w:b/>
        </w:rPr>
        <w:t>Spanoudakis K</w:t>
      </w:r>
      <w:r>
        <w:t xml:space="preserve">., Slocum L., Schafer J., Huebner B. (2026) “Who Decides What Reaches the Police? </w:t>
      </w:r>
    </w:p>
    <w:p w:rsidR="009E0294" w:rsidRDefault="00000000">
      <w:pPr>
        <w:spacing w:after="233"/>
        <w:ind w:left="0" w:right="0"/>
      </w:pPr>
      <w:r>
        <w:t xml:space="preserve">911 Call Takers, Discretion, and the Limits of Dispatch Data”. Revise and Resubmit, </w:t>
      </w:r>
      <w:r>
        <w:rPr>
          <w:i/>
        </w:rPr>
        <w:t xml:space="preserve">Justice Quarterly. </w:t>
      </w:r>
    </w:p>
    <w:p w:rsidR="009E0294" w:rsidRDefault="00000000">
      <w:pPr>
        <w:spacing w:after="233"/>
        <w:ind w:left="0" w:right="0"/>
      </w:pPr>
      <w:r>
        <w:rPr>
          <w:b/>
        </w:rPr>
        <w:t>Spanoudakis K.</w:t>
      </w:r>
      <w:r>
        <w:t xml:space="preserve"> (2026) “The expansion of surveillance: the use and reach of body worn cameras in correctional institutions.” Under Review, </w:t>
      </w:r>
      <w:r>
        <w:rPr>
          <w:i/>
        </w:rPr>
        <w:t xml:space="preserve">Punishment and Society </w:t>
      </w:r>
    </w:p>
    <w:p w:rsidR="009E0294" w:rsidRDefault="00000000">
      <w:pPr>
        <w:spacing w:after="230"/>
        <w:ind w:left="0" w:right="0"/>
      </w:pPr>
      <w:r>
        <w:t xml:space="preserve">Lennox R., </w:t>
      </w:r>
      <w:r>
        <w:rPr>
          <w:b/>
        </w:rPr>
        <w:t>Spanoudakis K</w:t>
      </w:r>
      <w:r>
        <w:t xml:space="preserve">., Rader N. (2026) Movements and mindsets: how #Blacklivesmatter protests shape midwestern adults’ perceptions of safety and movement efficacy. Under Review, </w:t>
      </w:r>
      <w:r>
        <w:rPr>
          <w:i/>
        </w:rPr>
        <w:t>Journal of Crime &amp; Justice</w:t>
      </w:r>
      <w:r>
        <w:t xml:space="preserve"> (Special Issue).</w:t>
      </w:r>
      <w:r>
        <w:rPr>
          <w:b/>
        </w:rPr>
        <w:t xml:space="preserve"> </w:t>
      </w:r>
    </w:p>
    <w:p w:rsidR="009E0294" w:rsidRDefault="00000000">
      <w:pPr>
        <w:spacing w:after="230"/>
        <w:ind w:left="0" w:right="0"/>
      </w:pPr>
      <w:r>
        <w:t xml:space="preserve">Lambert E.G., </w:t>
      </w:r>
      <w:r>
        <w:rPr>
          <w:b/>
        </w:rPr>
        <w:t>Spanoudakis K.</w:t>
      </w:r>
      <w:r>
        <w:t xml:space="preserve">, Elechi O., Otu S. (2026) </w:t>
      </w:r>
      <w:r>
        <w:rPr>
          <w:i/>
        </w:rPr>
        <w:t>“</w:t>
      </w:r>
      <w:r>
        <w:t>Building Trust: Exploring How Workplace Demands and Resources are Related to Organizational Trust Views of Staff at a Nigeria Prison.</w:t>
      </w:r>
      <w:r>
        <w:rPr>
          <w:i/>
        </w:rPr>
        <w:t>”</w:t>
      </w:r>
      <w:r>
        <w:t xml:space="preserve"> </w:t>
      </w:r>
      <w:r>
        <w:rPr>
          <w:i/>
        </w:rPr>
        <w:t>Criminal Justice Policy Review, 0</w:t>
      </w:r>
      <w:r>
        <w:t>(0)</w:t>
      </w:r>
      <w:r>
        <w:rPr>
          <w:i/>
        </w:rPr>
        <w:t xml:space="preserve">. </w:t>
      </w:r>
    </w:p>
    <w:p w:rsidR="009E0294" w:rsidRDefault="00000000">
      <w:pPr>
        <w:ind w:left="0" w:right="0"/>
      </w:pPr>
      <w:r>
        <w:rPr>
          <w:b/>
        </w:rPr>
        <w:t>Spanoudakis K</w:t>
      </w:r>
      <w:r>
        <w:t xml:space="preserve">., Huebner B. M., Garcia-Hallett J., Inzana V., Givens A., &amp; Canada K. E. (2024). The </w:t>
      </w:r>
    </w:p>
    <w:p w:rsidR="009E0294" w:rsidRDefault="00000000">
      <w:pPr>
        <w:spacing w:after="235"/>
        <w:ind w:left="0" w:right="0"/>
      </w:pPr>
      <w:r>
        <w:t xml:space="preserve">New Age Worker: Morale and Strain Among Staff During a Correctional Staffing Crisis. </w:t>
      </w:r>
      <w:r>
        <w:rPr>
          <w:i/>
        </w:rPr>
        <w:t>Journal of Contemporary Criminal Justice</w:t>
      </w:r>
      <w:r>
        <w:t xml:space="preserve">, </w:t>
      </w:r>
      <w:r>
        <w:rPr>
          <w:i/>
        </w:rPr>
        <w:t>40</w:t>
      </w:r>
      <w:r>
        <w:t xml:space="preserve">(4), 662-679 </w:t>
      </w:r>
    </w:p>
    <w:p w:rsidR="009E0294" w:rsidRDefault="00000000">
      <w:pPr>
        <w:spacing w:after="233"/>
        <w:ind w:left="0" w:right="0"/>
      </w:pPr>
      <w:r>
        <w:t xml:space="preserve">Slocum L.E., Greene C., Huebner B. M., Udani A., </w:t>
      </w:r>
      <w:r>
        <w:rPr>
          <w:b/>
        </w:rPr>
        <w:t>Spanoudakis K</w:t>
      </w:r>
      <w:r>
        <w:t xml:space="preserve">. (2024) “Centering Community in the Conceptualization and Measurement of Safety: A Mixed-Method Approach.” </w:t>
      </w:r>
      <w:r>
        <w:rPr>
          <w:i/>
        </w:rPr>
        <w:t>Justice Quarterly</w:t>
      </w:r>
      <w:r>
        <w:rPr>
          <w:rFonts w:ascii="Calibri" w:eastAsia="Calibri" w:hAnsi="Calibri" w:cs="Calibri"/>
          <w:i/>
          <w:color w:val="333333"/>
          <w:sz w:val="20"/>
        </w:rPr>
        <w:t xml:space="preserve">, </w:t>
      </w:r>
      <w:r>
        <w:rPr>
          <w:i/>
        </w:rPr>
        <w:t xml:space="preserve">41(7), 1122–1155 </w:t>
      </w:r>
    </w:p>
    <w:p w:rsidR="009E0294" w:rsidRDefault="00000000">
      <w:pPr>
        <w:pStyle w:val="Heading2"/>
        <w:ind w:left="0"/>
      </w:pPr>
      <w:r>
        <w:t xml:space="preserve">Manuscripts in Preparation </w:t>
      </w:r>
    </w:p>
    <w:p w:rsidR="009E0294" w:rsidRDefault="00000000">
      <w:pPr>
        <w:spacing w:after="0" w:line="259" w:lineRule="auto"/>
        <w:ind w:left="5" w:right="0" w:firstLine="0"/>
      </w:pPr>
      <w:r>
        <w:rPr>
          <w:b/>
        </w:rPr>
        <w:t xml:space="preserve"> </w:t>
      </w:r>
    </w:p>
    <w:p w:rsidR="009E0294" w:rsidRDefault="00000000">
      <w:pPr>
        <w:spacing w:after="89"/>
        <w:ind w:left="0" w:right="0"/>
      </w:pPr>
      <w:r>
        <w:t xml:space="preserve">Spanoudakis K., Greene C., Slocum L.  “Whenever I Searched St. Louis, the First Thing I Saw Was the Murder Rate.” Community Perceptions of Living in Stigmatized Geographies.  </w:t>
      </w:r>
    </w:p>
    <w:p w:rsidR="009E0294" w:rsidRDefault="00000000">
      <w:pPr>
        <w:spacing w:after="91"/>
        <w:ind w:left="0" w:right="0"/>
      </w:pPr>
      <w:r>
        <w:lastRenderedPageBreak/>
        <w:t xml:space="preserve">Spanoudakis K. Corrections Staffing Crisis: Evidence from one Midwestern State  </w:t>
      </w:r>
    </w:p>
    <w:p w:rsidR="009E0294" w:rsidRDefault="00000000">
      <w:pPr>
        <w:spacing w:after="75" w:line="259" w:lineRule="auto"/>
        <w:ind w:left="5" w:right="0" w:firstLine="0"/>
      </w:pPr>
      <w:r>
        <w:t xml:space="preserve"> </w:t>
      </w:r>
    </w:p>
    <w:p w:rsidR="009E0294" w:rsidRDefault="00000000">
      <w:pPr>
        <w:pStyle w:val="Heading2"/>
        <w:ind w:left="0"/>
      </w:pPr>
      <w:r>
        <w:t xml:space="preserve">Non-Peer-Reviewed Publications </w:t>
      </w:r>
    </w:p>
    <w:p w:rsidR="009E0294" w:rsidRDefault="00000000">
      <w:pPr>
        <w:ind w:left="0" w:right="0"/>
      </w:pPr>
      <w:r>
        <w:t xml:space="preserve">Joseph Schafer, Lee Slocum, Beth Huebner, </w:t>
      </w:r>
      <w:r>
        <w:rPr>
          <w:b/>
        </w:rPr>
        <w:t>Konstadina Spanoudakis</w:t>
      </w:r>
      <w:r>
        <w:t xml:space="preserve">, Teairstayn Jones, Isabella </w:t>
      </w:r>
    </w:p>
    <w:p w:rsidR="009E0294" w:rsidRDefault="00000000">
      <w:pPr>
        <w:spacing w:after="233"/>
        <w:ind w:left="0" w:right="0"/>
      </w:pPr>
      <w:r>
        <w:t xml:space="preserve">Castillo. “Gatekeeping Justice: The Role of Communications Personnel in Shaping Public Safety” (2025) Report as part of the </w:t>
      </w:r>
      <w:r>
        <w:rPr>
          <w:i/>
        </w:rPr>
        <w:t xml:space="preserve">MacArthur Safety and Justice Challenge </w:t>
      </w:r>
    </w:p>
    <w:p w:rsidR="009E0294" w:rsidRDefault="00000000">
      <w:pPr>
        <w:ind w:left="0" w:right="0"/>
      </w:pPr>
      <w:r>
        <w:t xml:space="preserve">Lee Ann Slocum, Claire Greene, Beth M. Huebner, Kiley Bednar, Adriano Udani, Robert Boxerman, Sarah Kirk, </w:t>
      </w:r>
      <w:r>
        <w:rPr>
          <w:b/>
        </w:rPr>
        <w:t>Konstadina Spanoudakis</w:t>
      </w:r>
      <w:r>
        <w:t xml:space="preserve">, Hayden Steingruby, Elizabeth Lyne, Emelyne Lane. </w:t>
      </w:r>
    </w:p>
    <w:p w:rsidR="009E0294" w:rsidRDefault="00000000">
      <w:pPr>
        <w:spacing w:after="233"/>
        <w:ind w:left="0" w:right="0"/>
      </w:pPr>
      <w:r>
        <w:t xml:space="preserve">“Redefining Public Safety in Three US Counties” (2023). Report as part of the </w:t>
      </w:r>
      <w:r>
        <w:rPr>
          <w:i/>
        </w:rPr>
        <w:t xml:space="preserve">MacArthur Safety and Justice Challenge </w:t>
      </w:r>
    </w:p>
    <w:p w:rsidR="009E0294" w:rsidRDefault="00000000">
      <w:pPr>
        <w:pStyle w:val="Heading2"/>
        <w:ind w:left="0"/>
      </w:pPr>
      <w:r>
        <w:t>HONORS AND AWARDS</w:t>
      </w:r>
      <w:r>
        <w:rPr>
          <w:b w:val="0"/>
        </w:rPr>
        <w:t xml:space="preserve"> </w:t>
      </w:r>
    </w:p>
    <w:p w:rsidR="009E0294" w:rsidRDefault="00000000">
      <w:pPr>
        <w:spacing w:after="159" w:line="259" w:lineRule="auto"/>
        <w:ind w:left="-25" w:right="-30" w:firstLine="0"/>
      </w:pPr>
      <w:r>
        <w:rPr>
          <w:rFonts w:ascii="Calibri" w:eastAsia="Calibri" w:hAnsi="Calibri" w:cs="Calibri"/>
          <w:noProof/>
          <w:sz w:val="22"/>
        </w:rPr>
        <mc:AlternateContent>
          <mc:Choice Requires="wpg">
            <w:drawing>
              <wp:inline distT="0" distB="0" distL="0" distR="0">
                <wp:extent cx="6441441" cy="9525"/>
                <wp:effectExtent l="0" t="0" r="0" b="0"/>
                <wp:docPr id="5074" name="Group 5074"/>
                <wp:cNvGraphicFramePr/>
                <a:graphic xmlns:a="http://schemas.openxmlformats.org/drawingml/2006/main">
                  <a:graphicData uri="http://schemas.microsoft.com/office/word/2010/wordprocessingGroup">
                    <wpg:wgp>
                      <wpg:cNvGrpSpPr/>
                      <wpg:grpSpPr>
                        <a:xfrm>
                          <a:off x="0" y="0"/>
                          <a:ext cx="6441441" cy="9525"/>
                          <a:chOff x="0" y="0"/>
                          <a:chExt cx="6441441" cy="9525"/>
                        </a:xfrm>
                      </wpg:grpSpPr>
                      <wps:wsp>
                        <wps:cNvPr id="6498" name="Shape 6498"/>
                        <wps:cNvSpPr/>
                        <wps:spPr>
                          <a:xfrm>
                            <a:off x="0" y="0"/>
                            <a:ext cx="6441441" cy="9525"/>
                          </a:xfrm>
                          <a:custGeom>
                            <a:avLst/>
                            <a:gdLst/>
                            <a:ahLst/>
                            <a:cxnLst/>
                            <a:rect l="0" t="0" r="0" b="0"/>
                            <a:pathLst>
                              <a:path w="6441441" h="9525">
                                <a:moveTo>
                                  <a:pt x="0" y="0"/>
                                </a:moveTo>
                                <a:lnTo>
                                  <a:pt x="6441441" y="0"/>
                                </a:lnTo>
                                <a:lnTo>
                                  <a:pt x="6441441" y="9525"/>
                                </a:lnTo>
                                <a:lnTo>
                                  <a:pt x="0" y="9525"/>
                                </a:lnTo>
                                <a:lnTo>
                                  <a:pt x="0" y="0"/>
                                </a:lnTo>
                              </a:path>
                            </a:pathLst>
                          </a:custGeom>
                          <a:ln w="0" cap="flat">
                            <a:miter lim="127000"/>
                          </a:ln>
                        </wps:spPr>
                        <wps:style>
                          <a:lnRef idx="0">
                            <a:srgbClr val="000000">
                              <a:alpha val="0"/>
                            </a:srgbClr>
                          </a:lnRef>
                          <a:fillRef idx="1">
                            <a:srgbClr val="444444"/>
                          </a:fillRef>
                          <a:effectRef idx="0">
                            <a:scrgbClr r="0" g="0" b="0"/>
                          </a:effectRef>
                          <a:fontRef idx="none"/>
                        </wps:style>
                        <wps:bodyPr/>
                      </wps:wsp>
                    </wpg:wgp>
                  </a:graphicData>
                </a:graphic>
              </wp:inline>
            </w:drawing>
          </mc:Choice>
          <mc:Fallback xmlns:a="http://schemas.openxmlformats.org/drawingml/2006/main">
            <w:pict>
              <v:group id="Group 5074" style="width:507.2pt;height:0.75pt;mso-position-horizontal-relative:char;mso-position-vertical-relative:line" coordsize="64414,95">
                <v:shape id="Shape 6499" style="position:absolute;width:64414;height:95;left:0;top:0;" coordsize="6441441,9525" path="m0,0l6441441,0l6441441,9525l0,9525l0,0">
                  <v:stroke weight="0pt" endcap="flat" joinstyle="miter" miterlimit="10" on="false" color="#000000" opacity="0"/>
                  <v:fill on="true" color="#444444"/>
                </v:shape>
              </v:group>
            </w:pict>
          </mc:Fallback>
        </mc:AlternateContent>
      </w:r>
    </w:p>
    <w:tbl>
      <w:tblPr>
        <w:tblStyle w:val="TableGrid"/>
        <w:tblW w:w="10144" w:type="dxa"/>
        <w:tblInd w:w="5" w:type="dxa"/>
        <w:tblCellMar>
          <w:top w:w="0" w:type="dxa"/>
          <w:left w:w="0" w:type="dxa"/>
          <w:bottom w:w="0" w:type="dxa"/>
          <w:right w:w="0" w:type="dxa"/>
        </w:tblCellMar>
        <w:tblLook w:val="04A0" w:firstRow="1" w:lastRow="0" w:firstColumn="1" w:lastColumn="0" w:noHBand="0" w:noVBand="1"/>
      </w:tblPr>
      <w:tblGrid>
        <w:gridCol w:w="9003"/>
        <w:gridCol w:w="1141"/>
      </w:tblGrid>
      <w:tr w:rsidR="009E0294">
        <w:trPr>
          <w:trHeight w:val="257"/>
        </w:trPr>
        <w:tc>
          <w:tcPr>
            <w:tcW w:w="9004" w:type="dxa"/>
            <w:tcBorders>
              <w:top w:val="nil"/>
              <w:left w:val="nil"/>
              <w:bottom w:val="nil"/>
              <w:right w:val="nil"/>
            </w:tcBorders>
          </w:tcPr>
          <w:p w:rsidR="009E0294" w:rsidRDefault="00000000">
            <w:pPr>
              <w:spacing w:after="0" w:line="259" w:lineRule="auto"/>
              <w:ind w:left="0" w:right="0" w:firstLine="0"/>
            </w:pPr>
            <w:r>
              <w:t xml:space="preserve">Midwestern Criminal Justice Association Doctoral Student Paper Award </w:t>
            </w:r>
          </w:p>
        </w:tc>
        <w:tc>
          <w:tcPr>
            <w:tcW w:w="1141" w:type="dxa"/>
            <w:tcBorders>
              <w:top w:val="nil"/>
              <w:left w:val="nil"/>
              <w:bottom w:val="nil"/>
              <w:right w:val="nil"/>
            </w:tcBorders>
          </w:tcPr>
          <w:p w:rsidR="009E0294" w:rsidRDefault="00000000">
            <w:pPr>
              <w:spacing w:after="0" w:line="259" w:lineRule="auto"/>
              <w:ind w:left="0" w:right="60" w:firstLine="0"/>
              <w:jc w:val="right"/>
            </w:pPr>
            <w:r>
              <w:t xml:space="preserve">2026 </w:t>
            </w:r>
          </w:p>
        </w:tc>
      </w:tr>
      <w:tr w:rsidR="009E0294">
        <w:trPr>
          <w:trHeight w:val="295"/>
        </w:trPr>
        <w:tc>
          <w:tcPr>
            <w:tcW w:w="9004" w:type="dxa"/>
            <w:tcBorders>
              <w:top w:val="nil"/>
              <w:left w:val="nil"/>
              <w:bottom w:val="nil"/>
              <w:right w:val="nil"/>
            </w:tcBorders>
          </w:tcPr>
          <w:p w:rsidR="009E0294" w:rsidRDefault="00000000">
            <w:pPr>
              <w:spacing w:after="0" w:line="259" w:lineRule="auto"/>
              <w:ind w:left="0" w:right="0" w:firstLine="0"/>
            </w:pPr>
            <w:r>
              <w:t xml:space="preserve">Huber Dissertation Fellowship </w:t>
            </w:r>
          </w:p>
        </w:tc>
        <w:tc>
          <w:tcPr>
            <w:tcW w:w="1141" w:type="dxa"/>
            <w:tcBorders>
              <w:top w:val="nil"/>
              <w:left w:val="nil"/>
              <w:bottom w:val="nil"/>
              <w:right w:val="nil"/>
            </w:tcBorders>
          </w:tcPr>
          <w:p w:rsidR="009E0294" w:rsidRDefault="00000000">
            <w:pPr>
              <w:spacing w:after="0" w:line="259" w:lineRule="auto"/>
              <w:ind w:left="0" w:right="60" w:firstLine="0"/>
              <w:jc w:val="right"/>
            </w:pPr>
            <w:r>
              <w:t xml:space="preserve">2026 </w:t>
            </w:r>
          </w:p>
        </w:tc>
      </w:tr>
      <w:tr w:rsidR="009E0294">
        <w:trPr>
          <w:trHeight w:val="295"/>
        </w:trPr>
        <w:tc>
          <w:tcPr>
            <w:tcW w:w="9004" w:type="dxa"/>
            <w:tcBorders>
              <w:top w:val="nil"/>
              <w:left w:val="nil"/>
              <w:bottom w:val="nil"/>
              <w:right w:val="nil"/>
            </w:tcBorders>
          </w:tcPr>
          <w:p w:rsidR="009E0294" w:rsidRDefault="00000000">
            <w:pPr>
              <w:spacing w:after="0" w:line="259" w:lineRule="auto"/>
              <w:ind w:left="0" w:right="0" w:firstLine="0"/>
            </w:pPr>
            <w:r>
              <w:t xml:space="preserve">Harry Frank Guggenheim Emerging Scholars Award – Finalist  </w:t>
            </w:r>
          </w:p>
        </w:tc>
        <w:tc>
          <w:tcPr>
            <w:tcW w:w="1141" w:type="dxa"/>
            <w:tcBorders>
              <w:top w:val="nil"/>
              <w:left w:val="nil"/>
              <w:bottom w:val="nil"/>
              <w:right w:val="nil"/>
            </w:tcBorders>
          </w:tcPr>
          <w:p w:rsidR="009E0294" w:rsidRDefault="00000000">
            <w:pPr>
              <w:spacing w:after="0" w:line="259" w:lineRule="auto"/>
              <w:ind w:left="0" w:right="60" w:firstLine="0"/>
              <w:jc w:val="right"/>
            </w:pPr>
            <w:r>
              <w:t xml:space="preserve">2026 </w:t>
            </w:r>
          </w:p>
        </w:tc>
      </w:tr>
      <w:tr w:rsidR="009E0294">
        <w:trPr>
          <w:trHeight w:val="295"/>
        </w:trPr>
        <w:tc>
          <w:tcPr>
            <w:tcW w:w="9004" w:type="dxa"/>
            <w:tcBorders>
              <w:top w:val="nil"/>
              <w:left w:val="nil"/>
              <w:bottom w:val="nil"/>
              <w:right w:val="nil"/>
            </w:tcBorders>
          </w:tcPr>
          <w:p w:rsidR="009E0294" w:rsidRDefault="00000000">
            <w:pPr>
              <w:spacing w:after="0" w:line="259" w:lineRule="auto"/>
              <w:ind w:left="0" w:right="0" w:firstLine="0"/>
            </w:pPr>
            <w:r>
              <w:t xml:space="preserve">Russel Sage Dissertation Fellowship – Finalist  </w:t>
            </w:r>
          </w:p>
        </w:tc>
        <w:tc>
          <w:tcPr>
            <w:tcW w:w="1141" w:type="dxa"/>
            <w:tcBorders>
              <w:top w:val="nil"/>
              <w:left w:val="nil"/>
              <w:bottom w:val="nil"/>
              <w:right w:val="nil"/>
            </w:tcBorders>
          </w:tcPr>
          <w:p w:rsidR="009E0294" w:rsidRDefault="00000000">
            <w:pPr>
              <w:spacing w:after="0" w:line="259" w:lineRule="auto"/>
              <w:ind w:left="0" w:right="60" w:firstLine="0"/>
              <w:jc w:val="right"/>
            </w:pPr>
            <w:r>
              <w:t xml:space="preserve">2026 </w:t>
            </w:r>
          </w:p>
        </w:tc>
      </w:tr>
      <w:tr w:rsidR="009E0294">
        <w:trPr>
          <w:trHeight w:val="297"/>
        </w:trPr>
        <w:tc>
          <w:tcPr>
            <w:tcW w:w="9004" w:type="dxa"/>
            <w:tcBorders>
              <w:top w:val="nil"/>
              <w:left w:val="nil"/>
              <w:bottom w:val="nil"/>
              <w:right w:val="nil"/>
            </w:tcBorders>
          </w:tcPr>
          <w:p w:rsidR="009E0294" w:rsidRDefault="00000000">
            <w:pPr>
              <w:spacing w:after="0" w:line="259" w:lineRule="auto"/>
              <w:ind w:left="0" w:right="0" w:firstLine="0"/>
            </w:pPr>
            <w:r>
              <w:t xml:space="preserve">Undergraduate Research Fellow, University of Iowa Public Policy Center </w:t>
            </w:r>
          </w:p>
        </w:tc>
        <w:tc>
          <w:tcPr>
            <w:tcW w:w="1141" w:type="dxa"/>
            <w:tcBorders>
              <w:top w:val="nil"/>
              <w:left w:val="nil"/>
              <w:bottom w:val="nil"/>
              <w:right w:val="nil"/>
            </w:tcBorders>
          </w:tcPr>
          <w:p w:rsidR="009E0294" w:rsidRDefault="00000000">
            <w:pPr>
              <w:spacing w:after="0" w:line="259" w:lineRule="auto"/>
              <w:ind w:left="0" w:right="60" w:firstLine="0"/>
              <w:jc w:val="right"/>
            </w:pPr>
            <w:r>
              <w:t xml:space="preserve">2020 </w:t>
            </w:r>
          </w:p>
        </w:tc>
      </w:tr>
      <w:tr w:rsidR="009E0294">
        <w:trPr>
          <w:trHeight w:val="298"/>
        </w:trPr>
        <w:tc>
          <w:tcPr>
            <w:tcW w:w="9004" w:type="dxa"/>
            <w:tcBorders>
              <w:top w:val="nil"/>
              <w:left w:val="nil"/>
              <w:bottom w:val="nil"/>
              <w:right w:val="nil"/>
            </w:tcBorders>
          </w:tcPr>
          <w:p w:rsidR="009E0294" w:rsidRDefault="00000000">
            <w:pPr>
              <w:spacing w:after="0" w:line="259" w:lineRule="auto"/>
              <w:ind w:left="0" w:right="0" w:firstLine="0"/>
            </w:pPr>
            <w:r>
              <w:t xml:space="preserve">Academic All-Big Ten, University of Iowa </w:t>
            </w:r>
          </w:p>
        </w:tc>
        <w:tc>
          <w:tcPr>
            <w:tcW w:w="1141" w:type="dxa"/>
            <w:tcBorders>
              <w:top w:val="nil"/>
              <w:left w:val="nil"/>
              <w:bottom w:val="nil"/>
              <w:right w:val="nil"/>
            </w:tcBorders>
          </w:tcPr>
          <w:p w:rsidR="009E0294" w:rsidRDefault="00000000">
            <w:pPr>
              <w:spacing w:after="0" w:line="259" w:lineRule="auto"/>
              <w:ind w:left="0" w:right="60" w:firstLine="0"/>
              <w:jc w:val="right"/>
            </w:pPr>
            <w:r>
              <w:t xml:space="preserve">2020 </w:t>
            </w:r>
          </w:p>
        </w:tc>
      </w:tr>
      <w:tr w:rsidR="009E0294">
        <w:trPr>
          <w:trHeight w:val="257"/>
        </w:trPr>
        <w:tc>
          <w:tcPr>
            <w:tcW w:w="9004" w:type="dxa"/>
            <w:tcBorders>
              <w:top w:val="nil"/>
              <w:left w:val="nil"/>
              <w:bottom w:val="nil"/>
              <w:right w:val="nil"/>
            </w:tcBorders>
          </w:tcPr>
          <w:p w:rsidR="009E0294" w:rsidRDefault="00000000">
            <w:pPr>
              <w:spacing w:after="0" w:line="259" w:lineRule="auto"/>
              <w:ind w:left="0" w:right="0" w:firstLine="0"/>
            </w:pPr>
            <w:r>
              <w:t xml:space="preserve">Big Ten Distinguished Scholar, University of Iowa </w:t>
            </w:r>
          </w:p>
        </w:tc>
        <w:tc>
          <w:tcPr>
            <w:tcW w:w="1141" w:type="dxa"/>
            <w:tcBorders>
              <w:top w:val="nil"/>
              <w:left w:val="nil"/>
              <w:bottom w:val="nil"/>
              <w:right w:val="nil"/>
            </w:tcBorders>
          </w:tcPr>
          <w:p w:rsidR="009E0294" w:rsidRDefault="00000000">
            <w:pPr>
              <w:spacing w:after="0" w:line="259" w:lineRule="auto"/>
              <w:ind w:left="0" w:right="60" w:firstLine="0"/>
              <w:jc w:val="right"/>
            </w:pPr>
            <w:r>
              <w:t xml:space="preserve">2020 </w:t>
            </w:r>
          </w:p>
        </w:tc>
      </w:tr>
    </w:tbl>
    <w:p w:rsidR="009E0294" w:rsidRDefault="00000000">
      <w:pPr>
        <w:tabs>
          <w:tab w:val="right" w:pos="10089"/>
        </w:tabs>
        <w:spacing w:after="233"/>
        <w:ind w:left="-10" w:right="0" w:firstLine="0"/>
      </w:pPr>
      <w:r>
        <w:t xml:space="preserve">Dean’s List Student, University of Iowa </w:t>
      </w:r>
      <w:r>
        <w:tab/>
        <w:t xml:space="preserve">2017, 2019 </w:t>
      </w:r>
    </w:p>
    <w:p w:rsidR="009E0294" w:rsidRDefault="00000000">
      <w:pPr>
        <w:pStyle w:val="Heading2"/>
        <w:ind w:left="0"/>
      </w:pPr>
      <w:r>
        <w:t>CONFERENCE PRESENTATIONS</w:t>
      </w:r>
      <w:r>
        <w:rPr>
          <w:b w:val="0"/>
        </w:rPr>
        <w:t xml:space="preserve"> </w:t>
      </w:r>
    </w:p>
    <w:p w:rsidR="009E0294" w:rsidRDefault="00000000">
      <w:pPr>
        <w:spacing w:after="159" w:line="259" w:lineRule="auto"/>
        <w:ind w:left="-25" w:right="-30" w:firstLine="0"/>
      </w:pPr>
      <w:r>
        <w:rPr>
          <w:rFonts w:ascii="Calibri" w:eastAsia="Calibri" w:hAnsi="Calibri" w:cs="Calibri"/>
          <w:noProof/>
          <w:sz w:val="22"/>
        </w:rPr>
        <mc:AlternateContent>
          <mc:Choice Requires="wpg">
            <w:drawing>
              <wp:inline distT="0" distB="0" distL="0" distR="0">
                <wp:extent cx="6441441" cy="9525"/>
                <wp:effectExtent l="0" t="0" r="0" b="0"/>
                <wp:docPr id="5076" name="Group 5076"/>
                <wp:cNvGraphicFramePr/>
                <a:graphic xmlns:a="http://schemas.openxmlformats.org/drawingml/2006/main">
                  <a:graphicData uri="http://schemas.microsoft.com/office/word/2010/wordprocessingGroup">
                    <wpg:wgp>
                      <wpg:cNvGrpSpPr/>
                      <wpg:grpSpPr>
                        <a:xfrm>
                          <a:off x="0" y="0"/>
                          <a:ext cx="6441441" cy="9525"/>
                          <a:chOff x="0" y="0"/>
                          <a:chExt cx="6441441" cy="9525"/>
                        </a:xfrm>
                      </wpg:grpSpPr>
                      <wps:wsp>
                        <wps:cNvPr id="6500" name="Shape 6500"/>
                        <wps:cNvSpPr/>
                        <wps:spPr>
                          <a:xfrm>
                            <a:off x="0" y="0"/>
                            <a:ext cx="6441441" cy="9525"/>
                          </a:xfrm>
                          <a:custGeom>
                            <a:avLst/>
                            <a:gdLst/>
                            <a:ahLst/>
                            <a:cxnLst/>
                            <a:rect l="0" t="0" r="0" b="0"/>
                            <a:pathLst>
                              <a:path w="6441441" h="9525">
                                <a:moveTo>
                                  <a:pt x="0" y="0"/>
                                </a:moveTo>
                                <a:lnTo>
                                  <a:pt x="6441441" y="0"/>
                                </a:lnTo>
                                <a:lnTo>
                                  <a:pt x="6441441" y="9525"/>
                                </a:lnTo>
                                <a:lnTo>
                                  <a:pt x="0" y="9525"/>
                                </a:lnTo>
                                <a:lnTo>
                                  <a:pt x="0" y="0"/>
                                </a:lnTo>
                              </a:path>
                            </a:pathLst>
                          </a:custGeom>
                          <a:ln w="0" cap="flat">
                            <a:miter lim="127000"/>
                          </a:ln>
                        </wps:spPr>
                        <wps:style>
                          <a:lnRef idx="0">
                            <a:srgbClr val="000000">
                              <a:alpha val="0"/>
                            </a:srgbClr>
                          </a:lnRef>
                          <a:fillRef idx="1">
                            <a:srgbClr val="444444"/>
                          </a:fillRef>
                          <a:effectRef idx="0">
                            <a:scrgbClr r="0" g="0" b="0"/>
                          </a:effectRef>
                          <a:fontRef idx="none"/>
                        </wps:style>
                        <wps:bodyPr/>
                      </wps:wsp>
                    </wpg:wgp>
                  </a:graphicData>
                </a:graphic>
              </wp:inline>
            </w:drawing>
          </mc:Choice>
          <mc:Fallback xmlns:a="http://schemas.openxmlformats.org/drawingml/2006/main">
            <w:pict>
              <v:group id="Group 5076" style="width:507.2pt;height:0.75pt;mso-position-horizontal-relative:char;mso-position-vertical-relative:line" coordsize="64414,95">
                <v:shape id="Shape 6501" style="position:absolute;width:64414;height:95;left:0;top:0;" coordsize="6441441,9525" path="m0,0l6441441,0l6441441,9525l0,9525l0,0">
                  <v:stroke weight="0pt" endcap="flat" joinstyle="miter" miterlimit="10" on="false" color="#000000" opacity="0"/>
                  <v:fill on="true" color="#444444"/>
                </v:shape>
              </v:group>
            </w:pict>
          </mc:Fallback>
        </mc:AlternateContent>
      </w:r>
    </w:p>
    <w:p w:rsidR="009E0294" w:rsidRDefault="00000000">
      <w:pPr>
        <w:ind w:left="0" w:right="0"/>
      </w:pPr>
      <w:r>
        <w:t xml:space="preserve">“The Mental Strains of the Pains of Employment: How Correctional Staff Navigate the Mental </w:t>
      </w:r>
    </w:p>
    <w:p w:rsidR="009E0294" w:rsidRDefault="00000000">
      <w:pPr>
        <w:spacing w:after="35"/>
        <w:ind w:left="0" w:right="0"/>
      </w:pPr>
      <w:r>
        <w:t xml:space="preserve">Challenges of Prison Work” </w:t>
      </w:r>
    </w:p>
    <w:p w:rsidR="009E0294" w:rsidRDefault="00000000">
      <w:pPr>
        <w:tabs>
          <w:tab w:val="right" w:pos="10089"/>
        </w:tabs>
        <w:ind w:left="-10" w:right="0" w:firstLine="0"/>
      </w:pPr>
      <w:r>
        <w:t xml:space="preserve">Midwestern Criminal Justice Association, Chicago (September) </w:t>
      </w:r>
      <w:r>
        <w:tab/>
        <w:t xml:space="preserve">2026 </w:t>
      </w:r>
    </w:p>
    <w:p w:rsidR="009E0294" w:rsidRDefault="00000000">
      <w:pPr>
        <w:spacing w:after="35"/>
        <w:ind w:left="0" w:right="0"/>
      </w:pPr>
      <w:r>
        <w:t xml:space="preserve">“Lost in the System? Understanding 911 Calls That Never Reach Dispatch.”  </w:t>
      </w:r>
    </w:p>
    <w:p w:rsidR="009E0294" w:rsidRDefault="00000000">
      <w:pPr>
        <w:tabs>
          <w:tab w:val="right" w:pos="10089"/>
        </w:tabs>
        <w:ind w:left="-10" w:right="0" w:firstLine="0"/>
      </w:pPr>
      <w:r>
        <w:t xml:space="preserve"> European Society of Criminology Conference, Athens, Greece (September) </w:t>
      </w:r>
      <w:r>
        <w:tab/>
        <w:t xml:space="preserve">2025 </w:t>
      </w:r>
    </w:p>
    <w:p w:rsidR="009E0294" w:rsidRDefault="00000000">
      <w:pPr>
        <w:spacing w:after="16"/>
        <w:ind w:left="0" w:right="0"/>
      </w:pPr>
      <w:r>
        <w:t xml:space="preserve">“The expansion of surveillance: the use and reach of body worn cameras in correctional institutions” </w:t>
      </w:r>
    </w:p>
    <w:p w:rsidR="009E0294" w:rsidRDefault="00000000">
      <w:pPr>
        <w:tabs>
          <w:tab w:val="right" w:pos="10089"/>
        </w:tabs>
        <w:ind w:left="-10" w:right="0" w:firstLine="0"/>
      </w:pPr>
      <w:r>
        <w:t xml:space="preserve">American Society of Criminology Conference, Washington, DC (November)  </w:t>
      </w:r>
      <w:r>
        <w:tab/>
        <w:t xml:space="preserve">2025 </w:t>
      </w:r>
    </w:p>
    <w:p w:rsidR="009E0294" w:rsidRDefault="00000000">
      <w:pPr>
        <w:spacing w:after="39"/>
        <w:ind w:left="0" w:right="0"/>
      </w:pPr>
      <w:r>
        <w:t xml:space="preserve">“Whenever I Searched St. Louis, the First Thing I Saw Was the Murder Rate.” Community Perceptions of Living in Stigmatized Geographies  </w:t>
      </w:r>
    </w:p>
    <w:p w:rsidR="009E0294" w:rsidRDefault="00000000">
      <w:pPr>
        <w:tabs>
          <w:tab w:val="right" w:pos="10089"/>
        </w:tabs>
        <w:ind w:left="-10" w:right="0" w:firstLine="0"/>
      </w:pPr>
      <w:r>
        <w:t xml:space="preserve">American Society of Criminology Conference, San Francisco (November)  </w:t>
      </w:r>
      <w:r>
        <w:tab/>
        <w:t xml:space="preserve">2024 </w:t>
      </w:r>
    </w:p>
    <w:p w:rsidR="009E0294" w:rsidRDefault="00000000">
      <w:pPr>
        <w:spacing w:after="35"/>
        <w:ind w:left="0" w:right="0"/>
      </w:pPr>
      <w:r>
        <w:t xml:space="preserve">“The New Age Worker: Morale and Strain among Staff during a Correctional Staffing Crisis”  </w:t>
      </w:r>
    </w:p>
    <w:p w:rsidR="009E0294" w:rsidRDefault="00000000">
      <w:pPr>
        <w:tabs>
          <w:tab w:val="right" w:pos="10089"/>
        </w:tabs>
        <w:ind w:left="-10" w:right="0" w:firstLine="0"/>
      </w:pPr>
      <w:r>
        <w:t xml:space="preserve">American Society of Criminology Conference, Philadelphia, PA (November) </w:t>
      </w:r>
      <w:r>
        <w:tab/>
        <w:t>2023</w:t>
      </w:r>
      <w:r>
        <w:rPr>
          <w:sz w:val="20"/>
        </w:rPr>
        <w:t xml:space="preserve"> </w:t>
      </w:r>
    </w:p>
    <w:p w:rsidR="009E0294" w:rsidRDefault="00000000">
      <w:pPr>
        <w:spacing w:after="35"/>
        <w:ind w:left="0" w:right="0"/>
      </w:pPr>
      <w:r>
        <w:t xml:space="preserve">“Conceptualizing the Meaning of Safety: Exploring Individual and Community Differences”  </w:t>
      </w:r>
    </w:p>
    <w:p w:rsidR="009E0294" w:rsidRDefault="00000000">
      <w:pPr>
        <w:tabs>
          <w:tab w:val="right" w:pos="10089"/>
        </w:tabs>
        <w:spacing w:after="236"/>
        <w:ind w:left="-10" w:right="0" w:firstLine="0"/>
      </w:pPr>
      <w:r>
        <w:t xml:space="preserve"> American Society of Criminology Conference, Philadelphia, PA (November) </w:t>
      </w:r>
      <w:r>
        <w:tab/>
        <w:t xml:space="preserve">2023 </w:t>
      </w:r>
    </w:p>
    <w:p w:rsidR="009E0294" w:rsidRDefault="00000000">
      <w:pPr>
        <w:pStyle w:val="Heading2"/>
        <w:ind w:left="0"/>
      </w:pPr>
      <w:r>
        <w:t>RESEARCH EXPERIENCE</w:t>
      </w:r>
      <w:r>
        <w:rPr>
          <w:b w:val="0"/>
        </w:rPr>
        <w:t xml:space="preserve"> </w:t>
      </w:r>
    </w:p>
    <w:p w:rsidR="009E0294" w:rsidRDefault="00000000">
      <w:pPr>
        <w:spacing w:after="162" w:line="259" w:lineRule="auto"/>
        <w:ind w:left="-25" w:right="-30" w:firstLine="0"/>
      </w:pPr>
      <w:r>
        <w:rPr>
          <w:rFonts w:ascii="Calibri" w:eastAsia="Calibri" w:hAnsi="Calibri" w:cs="Calibri"/>
          <w:noProof/>
          <w:sz w:val="22"/>
        </w:rPr>
        <mc:AlternateContent>
          <mc:Choice Requires="wpg">
            <w:drawing>
              <wp:inline distT="0" distB="0" distL="0" distR="0">
                <wp:extent cx="6441441" cy="9525"/>
                <wp:effectExtent l="0" t="0" r="0" b="0"/>
                <wp:docPr id="5077" name="Group 5077"/>
                <wp:cNvGraphicFramePr/>
                <a:graphic xmlns:a="http://schemas.openxmlformats.org/drawingml/2006/main">
                  <a:graphicData uri="http://schemas.microsoft.com/office/word/2010/wordprocessingGroup">
                    <wpg:wgp>
                      <wpg:cNvGrpSpPr/>
                      <wpg:grpSpPr>
                        <a:xfrm>
                          <a:off x="0" y="0"/>
                          <a:ext cx="6441441" cy="9525"/>
                          <a:chOff x="0" y="0"/>
                          <a:chExt cx="6441441" cy="9525"/>
                        </a:xfrm>
                      </wpg:grpSpPr>
                      <wps:wsp>
                        <wps:cNvPr id="6502" name="Shape 6502"/>
                        <wps:cNvSpPr/>
                        <wps:spPr>
                          <a:xfrm>
                            <a:off x="0" y="0"/>
                            <a:ext cx="6441441" cy="9525"/>
                          </a:xfrm>
                          <a:custGeom>
                            <a:avLst/>
                            <a:gdLst/>
                            <a:ahLst/>
                            <a:cxnLst/>
                            <a:rect l="0" t="0" r="0" b="0"/>
                            <a:pathLst>
                              <a:path w="6441441" h="9525">
                                <a:moveTo>
                                  <a:pt x="0" y="0"/>
                                </a:moveTo>
                                <a:lnTo>
                                  <a:pt x="6441441" y="0"/>
                                </a:lnTo>
                                <a:lnTo>
                                  <a:pt x="6441441" y="9525"/>
                                </a:lnTo>
                                <a:lnTo>
                                  <a:pt x="0" y="9525"/>
                                </a:lnTo>
                                <a:lnTo>
                                  <a:pt x="0" y="0"/>
                                </a:lnTo>
                              </a:path>
                            </a:pathLst>
                          </a:custGeom>
                          <a:ln w="0" cap="flat">
                            <a:miter lim="127000"/>
                          </a:ln>
                        </wps:spPr>
                        <wps:style>
                          <a:lnRef idx="0">
                            <a:srgbClr val="000000">
                              <a:alpha val="0"/>
                            </a:srgbClr>
                          </a:lnRef>
                          <a:fillRef idx="1">
                            <a:srgbClr val="444444"/>
                          </a:fillRef>
                          <a:effectRef idx="0">
                            <a:scrgbClr r="0" g="0" b="0"/>
                          </a:effectRef>
                          <a:fontRef idx="none"/>
                        </wps:style>
                        <wps:bodyPr/>
                      </wps:wsp>
                    </wpg:wgp>
                  </a:graphicData>
                </a:graphic>
              </wp:inline>
            </w:drawing>
          </mc:Choice>
          <mc:Fallback xmlns:a="http://schemas.openxmlformats.org/drawingml/2006/main">
            <w:pict>
              <v:group id="Group 5077" style="width:507.2pt;height:0.75pt;mso-position-horizontal-relative:char;mso-position-vertical-relative:line" coordsize="64414,95">
                <v:shape id="Shape 6503" style="position:absolute;width:64414;height:95;left:0;top:0;" coordsize="6441441,9525" path="m0,0l6441441,0l6441441,9525l0,9525l0,0">
                  <v:stroke weight="0pt" endcap="flat" joinstyle="miter" miterlimit="10" on="false" color="#000000" opacity="0"/>
                  <v:fill on="true" color="#444444"/>
                </v:shape>
              </v:group>
            </w:pict>
          </mc:Fallback>
        </mc:AlternateContent>
      </w:r>
    </w:p>
    <w:p w:rsidR="009E0294" w:rsidRDefault="00000000">
      <w:pPr>
        <w:pStyle w:val="Heading2"/>
        <w:ind w:left="0"/>
      </w:pPr>
      <w:r>
        <w:t xml:space="preserve">University of Missouri St. Louis – Graduate Research Assistant </w:t>
      </w:r>
    </w:p>
    <w:p w:rsidR="009E0294" w:rsidRDefault="00000000">
      <w:pPr>
        <w:spacing w:after="38"/>
        <w:ind w:left="0" w:right="0"/>
      </w:pPr>
      <w:r>
        <w:t xml:space="preserve">Understanding and Refining Community Violence Intervention Implementation: St. Louis (MO) as a Crucial Case. (Co-PIs: Lee Slocum and Dr. Chris Sullivan).  </w:t>
      </w:r>
    </w:p>
    <w:p w:rsidR="009E0294" w:rsidRDefault="00000000">
      <w:pPr>
        <w:tabs>
          <w:tab w:val="right" w:pos="10089"/>
        </w:tabs>
        <w:spacing w:after="40"/>
        <w:ind w:left="-10" w:right="0" w:firstLine="0"/>
      </w:pPr>
      <w:r>
        <w:lastRenderedPageBreak/>
        <w:t xml:space="preserve">National Institute of Justice.  </w:t>
      </w:r>
      <w:r>
        <w:tab/>
        <w:t xml:space="preserve">2026 </w:t>
      </w:r>
    </w:p>
    <w:p w:rsidR="009E0294" w:rsidRDefault="00000000">
      <w:pPr>
        <w:numPr>
          <w:ilvl w:val="0"/>
          <w:numId w:val="1"/>
        </w:numPr>
        <w:ind w:right="0" w:hanging="361"/>
      </w:pPr>
      <w:r>
        <w:t xml:space="preserve">Assisted with the transcription, coding, and analysis of interviews.  </w:t>
      </w:r>
    </w:p>
    <w:p w:rsidR="009E0294" w:rsidRDefault="00000000">
      <w:pPr>
        <w:spacing w:after="0" w:line="259" w:lineRule="auto"/>
        <w:ind w:left="726" w:right="0" w:firstLine="0"/>
      </w:pPr>
      <w:r>
        <w:t xml:space="preserve"> </w:t>
      </w:r>
    </w:p>
    <w:p w:rsidR="009E0294" w:rsidRDefault="00000000">
      <w:pPr>
        <w:spacing w:after="39"/>
        <w:ind w:left="0" w:right="0"/>
      </w:pPr>
      <w:r>
        <w:t xml:space="preserve">Understanding the Role of Public Safety Communications Personnel in Call Processing, Diversion, and Criminal Legal System Gatekeeping” (Co-PIs: Lee Slocum, Joseph Schafer).  </w:t>
      </w:r>
    </w:p>
    <w:p w:rsidR="009E0294" w:rsidRDefault="00000000">
      <w:pPr>
        <w:tabs>
          <w:tab w:val="right" w:pos="10089"/>
        </w:tabs>
        <w:spacing w:after="40"/>
        <w:ind w:left="-10" w:right="0" w:firstLine="0"/>
      </w:pPr>
      <w:r>
        <w:t xml:space="preserve">MacArthur Foundation.  </w:t>
      </w:r>
      <w:r>
        <w:tab/>
        <w:t xml:space="preserve">2024 – 2025 </w:t>
      </w:r>
    </w:p>
    <w:p w:rsidR="009E0294" w:rsidRDefault="00000000">
      <w:pPr>
        <w:numPr>
          <w:ilvl w:val="0"/>
          <w:numId w:val="1"/>
        </w:numPr>
        <w:ind w:right="0" w:hanging="361"/>
      </w:pPr>
      <w:r>
        <w:t xml:space="preserve">Assisted with the design of research instruments, participant recruitment, and conducted in depth interviews with patrol officers, dispatchers and call takers at 911 call centers.  </w:t>
      </w:r>
    </w:p>
    <w:p w:rsidR="009E0294" w:rsidRDefault="00000000">
      <w:pPr>
        <w:numPr>
          <w:ilvl w:val="0"/>
          <w:numId w:val="1"/>
        </w:numPr>
        <w:ind w:right="0" w:hanging="361"/>
      </w:pPr>
      <w:r>
        <w:t xml:space="preserve">Conducted systematic social observations in 911 call centers in St. Louis County and East Baton Rouge.  </w:t>
      </w:r>
    </w:p>
    <w:p w:rsidR="009E0294" w:rsidRDefault="00000000">
      <w:pPr>
        <w:spacing w:after="0" w:line="259" w:lineRule="auto"/>
        <w:ind w:left="365" w:right="0" w:firstLine="0"/>
      </w:pPr>
      <w:r>
        <w:t xml:space="preserve"> </w:t>
      </w:r>
    </w:p>
    <w:p w:rsidR="009E0294" w:rsidRDefault="00000000">
      <w:pPr>
        <w:ind w:left="0" w:right="0"/>
      </w:pPr>
      <w:r>
        <w:t xml:space="preserve">Safety Perceptions and Social Movements: Exploring #BLM and #MeToo. (PI: Rebecca Lennox) </w:t>
      </w:r>
    </w:p>
    <w:p w:rsidR="009E0294" w:rsidRDefault="00000000">
      <w:pPr>
        <w:tabs>
          <w:tab w:val="right" w:pos="10089"/>
        </w:tabs>
        <w:spacing w:after="41"/>
        <w:ind w:left="-10" w:right="0" w:firstLine="0"/>
      </w:pPr>
      <w:r>
        <w:t xml:space="preserve">University of Missouri-St. Louis Office of Research  </w:t>
      </w:r>
      <w:r>
        <w:tab/>
        <w:t xml:space="preserve">2025 – 2026 </w:t>
      </w:r>
    </w:p>
    <w:p w:rsidR="009E0294" w:rsidRDefault="00000000">
      <w:pPr>
        <w:numPr>
          <w:ilvl w:val="0"/>
          <w:numId w:val="1"/>
        </w:numPr>
        <w:ind w:right="0" w:hanging="361"/>
      </w:pPr>
      <w:r>
        <w:t xml:space="preserve">Assisted with participant recruitment, conducted in depth interviews, and assisted with interview coding and analysis. </w:t>
      </w:r>
    </w:p>
    <w:p w:rsidR="009E0294" w:rsidRDefault="00000000">
      <w:pPr>
        <w:spacing w:after="0" w:line="259" w:lineRule="auto"/>
        <w:ind w:left="5" w:right="0" w:firstLine="0"/>
      </w:pPr>
      <w:r>
        <w:t xml:space="preserve"> </w:t>
      </w:r>
    </w:p>
    <w:p w:rsidR="009E0294" w:rsidRDefault="00000000">
      <w:pPr>
        <w:ind w:left="0" w:right="0"/>
      </w:pPr>
      <w:r>
        <w:t xml:space="preserve">“Redefining Community Safety” (Co-PIs: Lee Slocum, Beth Huebner, Adriano Udani, Kiley Bednar). </w:t>
      </w:r>
    </w:p>
    <w:p w:rsidR="009E0294" w:rsidRDefault="00000000">
      <w:pPr>
        <w:tabs>
          <w:tab w:val="right" w:pos="10089"/>
        </w:tabs>
        <w:spacing w:after="41"/>
        <w:ind w:left="-10" w:right="0" w:firstLine="0"/>
      </w:pPr>
      <w:r>
        <w:t xml:space="preserve">MacArthur Foundation.   </w:t>
      </w:r>
      <w:r>
        <w:tab/>
        <w:t xml:space="preserve">2023 </w:t>
      </w:r>
    </w:p>
    <w:p w:rsidR="009E0294" w:rsidRDefault="00000000">
      <w:pPr>
        <w:numPr>
          <w:ilvl w:val="0"/>
          <w:numId w:val="1"/>
        </w:numPr>
        <w:ind w:right="0" w:hanging="361"/>
      </w:pPr>
      <w:r>
        <w:t xml:space="preserve">Assisted with the media coding analysis of over 200 articles  </w:t>
      </w:r>
      <w:r>
        <w:rPr>
          <w:rFonts w:ascii="Segoe UI Symbol" w:eastAsia="Segoe UI Symbol" w:hAnsi="Segoe UI Symbol" w:cs="Segoe UI Symbol"/>
        </w:rPr>
        <w:t>•</w:t>
      </w:r>
      <w:r>
        <w:rPr>
          <w:rFonts w:ascii="Arial" w:eastAsia="Arial" w:hAnsi="Arial" w:cs="Arial"/>
        </w:rPr>
        <w:t xml:space="preserve"> </w:t>
      </w:r>
      <w:r>
        <w:t xml:space="preserve">Assisted with interview coding and analysis  </w:t>
      </w:r>
    </w:p>
    <w:p w:rsidR="009E0294" w:rsidRDefault="00000000">
      <w:pPr>
        <w:spacing w:after="27" w:line="259" w:lineRule="auto"/>
        <w:ind w:left="5" w:right="0" w:firstLine="0"/>
      </w:pPr>
      <w:r>
        <w:rPr>
          <w:b/>
        </w:rPr>
        <w:t xml:space="preserve"> </w:t>
      </w:r>
    </w:p>
    <w:p w:rsidR="009E0294" w:rsidRDefault="00000000">
      <w:pPr>
        <w:pStyle w:val="Heading2"/>
        <w:tabs>
          <w:tab w:val="right" w:pos="10089"/>
        </w:tabs>
        <w:ind w:left="-10" w:firstLine="0"/>
      </w:pPr>
      <w:r>
        <w:t>Empower Missouri, Research Assistant</w:t>
      </w:r>
      <w:r>
        <w:rPr>
          <w:b w:val="0"/>
        </w:rPr>
        <w:t xml:space="preserve"> </w:t>
      </w:r>
      <w:r>
        <w:rPr>
          <w:b w:val="0"/>
        </w:rPr>
        <w:tab/>
        <w:t xml:space="preserve">2024 </w:t>
      </w:r>
    </w:p>
    <w:p w:rsidR="009E0294" w:rsidRDefault="00000000">
      <w:pPr>
        <w:ind w:left="0" w:right="0"/>
      </w:pPr>
      <w:r>
        <w:t xml:space="preserve">Exploring Private Probation Practices in Missouri </w:t>
      </w:r>
    </w:p>
    <w:p w:rsidR="009E0294" w:rsidRDefault="00000000">
      <w:pPr>
        <w:numPr>
          <w:ilvl w:val="0"/>
          <w:numId w:val="2"/>
        </w:numPr>
        <w:spacing w:after="37"/>
        <w:ind w:right="0" w:hanging="361"/>
      </w:pPr>
      <w:r>
        <w:t xml:space="preserve">Lead qualitative data collection and analysis, conducting in-depth interviews with Missouri judges about private probation practices in Missouri  </w:t>
      </w:r>
    </w:p>
    <w:p w:rsidR="009E0294" w:rsidRDefault="00000000">
      <w:pPr>
        <w:numPr>
          <w:ilvl w:val="0"/>
          <w:numId w:val="2"/>
        </w:numPr>
        <w:ind w:right="0" w:hanging="361"/>
      </w:pPr>
      <w:r>
        <w:t xml:space="preserve">Conducted courtroom over 100 hours of observations in misdemeanor court in two separate rural counties in Missouri </w:t>
      </w:r>
    </w:p>
    <w:p w:rsidR="009E0294" w:rsidRDefault="00000000">
      <w:pPr>
        <w:spacing w:after="33" w:line="259" w:lineRule="auto"/>
        <w:ind w:left="726" w:right="0" w:firstLine="0"/>
      </w:pPr>
      <w:r>
        <w:t xml:space="preserve"> </w:t>
      </w:r>
    </w:p>
    <w:p w:rsidR="009E0294" w:rsidRDefault="00000000">
      <w:pPr>
        <w:pStyle w:val="Heading2"/>
        <w:tabs>
          <w:tab w:val="center" w:pos="10089"/>
        </w:tabs>
        <w:ind w:left="-10" w:firstLine="0"/>
      </w:pPr>
      <w:r>
        <w:t xml:space="preserve">University of Iowa – Undergraduate Research Assistant </w:t>
      </w:r>
      <w:r>
        <w:tab/>
        <w:t xml:space="preserve"> </w:t>
      </w:r>
    </w:p>
    <w:p w:rsidR="009E0294" w:rsidRDefault="00000000">
      <w:pPr>
        <w:tabs>
          <w:tab w:val="right" w:pos="10089"/>
        </w:tabs>
        <w:ind w:left="-10" w:right="0" w:firstLine="0"/>
      </w:pPr>
      <w:r>
        <w:t xml:space="preserve">Undergraduate Research Fellow – University of Iowa Public Policy Center </w:t>
      </w:r>
      <w:r>
        <w:tab/>
        <w:t>2020 – 2021</w:t>
      </w:r>
      <w:r>
        <w:rPr>
          <w:b/>
        </w:rPr>
        <w:t xml:space="preserve"> </w:t>
      </w:r>
    </w:p>
    <w:p w:rsidR="009E0294" w:rsidRDefault="00000000">
      <w:pPr>
        <w:tabs>
          <w:tab w:val="right" w:pos="10089"/>
        </w:tabs>
        <w:ind w:left="-10" w:right="0" w:firstLine="0"/>
      </w:pPr>
      <w:r>
        <w:t xml:space="preserve">Undergraduate Research Assistant. PI: Dr. Yongren Shi </w:t>
      </w:r>
      <w:r>
        <w:tab/>
        <w:t>2020</w:t>
      </w:r>
      <w:r>
        <w:rPr>
          <w:b/>
        </w:rPr>
        <w:t xml:space="preserve"> </w:t>
      </w:r>
    </w:p>
    <w:p w:rsidR="009E0294" w:rsidRDefault="00000000">
      <w:pPr>
        <w:tabs>
          <w:tab w:val="right" w:pos="10089"/>
        </w:tabs>
        <w:ind w:left="-10" w:right="0" w:firstLine="0"/>
      </w:pPr>
      <w:r>
        <w:t xml:space="preserve">Undergraduate Research Assistant. PI: Dr. Marina Zaloznaya  </w:t>
      </w:r>
      <w:r>
        <w:tab/>
        <w:t xml:space="preserve">2019 – 2020 </w:t>
      </w:r>
    </w:p>
    <w:p w:rsidR="009E0294" w:rsidRDefault="00000000">
      <w:pPr>
        <w:tabs>
          <w:tab w:val="right" w:pos="10089"/>
        </w:tabs>
        <w:ind w:left="-10" w:right="0" w:firstLine="0"/>
      </w:pPr>
      <w:r>
        <w:t xml:space="preserve">Undergraduate Research Assistant - Center for the Study of Group Processes            </w:t>
      </w:r>
      <w:r>
        <w:tab/>
        <w:t xml:space="preserve">    2019 – 2020</w:t>
      </w:r>
    </w:p>
    <w:p w:rsidR="009E0294" w:rsidRDefault="00000000">
      <w:pPr>
        <w:spacing w:after="225" w:line="259" w:lineRule="auto"/>
        <w:ind w:left="5" w:right="0" w:firstLine="0"/>
      </w:pPr>
      <w:r>
        <w:t xml:space="preserve"> </w:t>
      </w:r>
      <w:r>
        <w:tab/>
        <w:t xml:space="preserve">     </w:t>
      </w:r>
    </w:p>
    <w:p w:rsidR="009E0294" w:rsidRDefault="00000000">
      <w:pPr>
        <w:pStyle w:val="Heading1"/>
        <w:ind w:left="0"/>
      </w:pPr>
      <w:r>
        <w:t xml:space="preserve">TEACHING EXPERIENCE </w:t>
      </w:r>
      <w:r>
        <w:rPr>
          <w:b w:val="0"/>
          <w:color w:val="000000"/>
        </w:rPr>
        <w:t xml:space="preserve"> </w:t>
      </w:r>
    </w:p>
    <w:p w:rsidR="009E0294" w:rsidRDefault="00000000">
      <w:pPr>
        <w:spacing w:after="162" w:line="259" w:lineRule="auto"/>
        <w:ind w:left="-25" w:right="-30" w:firstLine="0"/>
      </w:pPr>
      <w:r>
        <w:rPr>
          <w:rFonts w:ascii="Calibri" w:eastAsia="Calibri" w:hAnsi="Calibri" w:cs="Calibri"/>
          <w:noProof/>
          <w:sz w:val="22"/>
        </w:rPr>
        <mc:AlternateContent>
          <mc:Choice Requires="wpg">
            <w:drawing>
              <wp:inline distT="0" distB="0" distL="0" distR="0">
                <wp:extent cx="6441441" cy="9525"/>
                <wp:effectExtent l="0" t="0" r="0" b="0"/>
                <wp:docPr id="4571" name="Group 4571"/>
                <wp:cNvGraphicFramePr/>
                <a:graphic xmlns:a="http://schemas.openxmlformats.org/drawingml/2006/main">
                  <a:graphicData uri="http://schemas.microsoft.com/office/word/2010/wordprocessingGroup">
                    <wpg:wgp>
                      <wpg:cNvGrpSpPr/>
                      <wpg:grpSpPr>
                        <a:xfrm>
                          <a:off x="0" y="0"/>
                          <a:ext cx="6441441" cy="9525"/>
                          <a:chOff x="0" y="0"/>
                          <a:chExt cx="6441441" cy="9525"/>
                        </a:xfrm>
                      </wpg:grpSpPr>
                      <wps:wsp>
                        <wps:cNvPr id="6504" name="Shape 6504"/>
                        <wps:cNvSpPr/>
                        <wps:spPr>
                          <a:xfrm>
                            <a:off x="0" y="0"/>
                            <a:ext cx="6441441" cy="9525"/>
                          </a:xfrm>
                          <a:custGeom>
                            <a:avLst/>
                            <a:gdLst/>
                            <a:ahLst/>
                            <a:cxnLst/>
                            <a:rect l="0" t="0" r="0" b="0"/>
                            <a:pathLst>
                              <a:path w="6441441" h="9525">
                                <a:moveTo>
                                  <a:pt x="0" y="0"/>
                                </a:moveTo>
                                <a:lnTo>
                                  <a:pt x="6441441" y="0"/>
                                </a:lnTo>
                                <a:lnTo>
                                  <a:pt x="6441441" y="9525"/>
                                </a:lnTo>
                                <a:lnTo>
                                  <a:pt x="0" y="9525"/>
                                </a:lnTo>
                                <a:lnTo>
                                  <a:pt x="0" y="0"/>
                                </a:lnTo>
                              </a:path>
                            </a:pathLst>
                          </a:custGeom>
                          <a:ln w="0" cap="flat">
                            <a:miter lim="127000"/>
                          </a:ln>
                        </wps:spPr>
                        <wps:style>
                          <a:lnRef idx="0">
                            <a:srgbClr val="000000">
                              <a:alpha val="0"/>
                            </a:srgbClr>
                          </a:lnRef>
                          <a:fillRef idx="1">
                            <a:srgbClr val="444444"/>
                          </a:fillRef>
                          <a:effectRef idx="0">
                            <a:scrgbClr r="0" g="0" b="0"/>
                          </a:effectRef>
                          <a:fontRef idx="none"/>
                        </wps:style>
                        <wps:bodyPr/>
                      </wps:wsp>
                    </wpg:wgp>
                  </a:graphicData>
                </a:graphic>
              </wp:inline>
            </w:drawing>
          </mc:Choice>
          <mc:Fallback xmlns:a="http://schemas.openxmlformats.org/drawingml/2006/main">
            <w:pict>
              <v:group id="Group 4571" style="width:507.2pt;height:0.75pt;mso-position-horizontal-relative:char;mso-position-vertical-relative:line" coordsize="64414,95">
                <v:shape id="Shape 6505" style="position:absolute;width:64414;height:95;left:0;top:0;" coordsize="6441441,9525" path="m0,0l6441441,0l6441441,9525l0,9525l0,0">
                  <v:stroke weight="0pt" endcap="flat" joinstyle="miter" miterlimit="10" on="false" color="#000000" opacity="0"/>
                  <v:fill on="true" color="#444444"/>
                </v:shape>
              </v:group>
            </w:pict>
          </mc:Fallback>
        </mc:AlternateContent>
      </w:r>
    </w:p>
    <w:p w:rsidR="009E0294" w:rsidRDefault="00000000">
      <w:pPr>
        <w:pStyle w:val="Heading2"/>
        <w:ind w:left="0"/>
      </w:pPr>
      <w:r>
        <w:t xml:space="preserve">Instructor of Record  </w:t>
      </w:r>
    </w:p>
    <w:tbl>
      <w:tblPr>
        <w:tblStyle w:val="TableGrid"/>
        <w:tblW w:w="10144" w:type="dxa"/>
        <w:tblInd w:w="5" w:type="dxa"/>
        <w:tblCellMar>
          <w:top w:w="0" w:type="dxa"/>
          <w:left w:w="0" w:type="dxa"/>
          <w:bottom w:w="0" w:type="dxa"/>
          <w:right w:w="0" w:type="dxa"/>
        </w:tblCellMar>
        <w:tblLook w:val="04A0" w:firstRow="1" w:lastRow="0" w:firstColumn="1" w:lastColumn="0" w:noHBand="0" w:noVBand="1"/>
      </w:tblPr>
      <w:tblGrid>
        <w:gridCol w:w="6397"/>
        <w:gridCol w:w="3747"/>
      </w:tblGrid>
      <w:tr w:rsidR="009E0294">
        <w:trPr>
          <w:trHeight w:val="852"/>
        </w:trPr>
        <w:tc>
          <w:tcPr>
            <w:tcW w:w="6398" w:type="dxa"/>
            <w:tcBorders>
              <w:top w:val="nil"/>
              <w:left w:val="nil"/>
              <w:bottom w:val="nil"/>
              <w:right w:val="nil"/>
            </w:tcBorders>
          </w:tcPr>
          <w:p w:rsidR="009E0294" w:rsidRDefault="00000000">
            <w:pPr>
              <w:spacing w:after="0" w:line="259" w:lineRule="auto"/>
              <w:ind w:left="0" w:right="0" w:firstLine="0"/>
            </w:pPr>
            <w:r>
              <w:t xml:space="preserve">Graduate Instructor, Theories of Crime  </w:t>
            </w:r>
          </w:p>
          <w:p w:rsidR="009E0294" w:rsidRDefault="00000000">
            <w:pPr>
              <w:spacing w:after="0" w:line="259" w:lineRule="auto"/>
              <w:ind w:left="0" w:right="0" w:firstLine="0"/>
            </w:pPr>
            <w:r>
              <w:t xml:space="preserve"> </w:t>
            </w:r>
          </w:p>
          <w:p w:rsidR="009E0294" w:rsidRDefault="00000000">
            <w:pPr>
              <w:spacing w:after="0" w:line="259" w:lineRule="auto"/>
              <w:ind w:left="0" w:right="0" w:firstLine="0"/>
            </w:pPr>
            <w:r>
              <w:rPr>
                <w:b/>
              </w:rPr>
              <w:t xml:space="preserve">Teaching Assistance </w:t>
            </w:r>
          </w:p>
        </w:tc>
        <w:tc>
          <w:tcPr>
            <w:tcW w:w="3747" w:type="dxa"/>
            <w:tcBorders>
              <w:top w:val="nil"/>
              <w:left w:val="nil"/>
              <w:bottom w:val="nil"/>
              <w:right w:val="nil"/>
            </w:tcBorders>
          </w:tcPr>
          <w:p w:rsidR="009E0294" w:rsidRDefault="00000000">
            <w:pPr>
              <w:spacing w:after="0" w:line="259" w:lineRule="auto"/>
              <w:ind w:left="0" w:right="0" w:firstLine="0"/>
              <w:jc w:val="both"/>
            </w:pPr>
            <w:r>
              <w:t xml:space="preserve">Summer 2026, Fall 2026, Spring 2027 </w:t>
            </w:r>
          </w:p>
        </w:tc>
      </w:tr>
      <w:tr w:rsidR="009E0294">
        <w:trPr>
          <w:trHeight w:val="257"/>
        </w:trPr>
        <w:tc>
          <w:tcPr>
            <w:tcW w:w="6398" w:type="dxa"/>
            <w:tcBorders>
              <w:top w:val="nil"/>
              <w:left w:val="nil"/>
              <w:bottom w:val="nil"/>
              <w:right w:val="nil"/>
            </w:tcBorders>
          </w:tcPr>
          <w:p w:rsidR="009E0294" w:rsidRDefault="00000000">
            <w:pPr>
              <w:spacing w:after="0" w:line="259" w:lineRule="auto"/>
              <w:ind w:left="0" w:right="0" w:firstLine="0"/>
            </w:pPr>
            <w:r>
              <w:t xml:space="preserve">Graduate Teaching Assistant, Corrections </w:t>
            </w:r>
          </w:p>
        </w:tc>
        <w:tc>
          <w:tcPr>
            <w:tcW w:w="3747" w:type="dxa"/>
            <w:tcBorders>
              <w:top w:val="nil"/>
              <w:left w:val="nil"/>
              <w:bottom w:val="nil"/>
              <w:right w:val="nil"/>
            </w:tcBorders>
          </w:tcPr>
          <w:p w:rsidR="009E0294" w:rsidRDefault="00000000">
            <w:pPr>
              <w:spacing w:after="0" w:line="259" w:lineRule="auto"/>
              <w:ind w:left="0" w:right="66" w:firstLine="0"/>
              <w:jc w:val="right"/>
            </w:pPr>
            <w:r>
              <w:t xml:space="preserve">Spring 2023, Fall 2023 </w:t>
            </w:r>
          </w:p>
        </w:tc>
      </w:tr>
    </w:tbl>
    <w:p w:rsidR="009E0294" w:rsidRDefault="00000000">
      <w:pPr>
        <w:spacing w:after="5" w:line="255" w:lineRule="auto"/>
        <w:ind w:left="5" w:right="1" w:firstLine="0"/>
        <w:jc w:val="both"/>
      </w:pPr>
      <w:r>
        <w:t xml:space="preserve">Graduate Teaching Assistant, Gender, Crime and Justice Spring 2023, Fall 2022 Graduate Teaching Assistant, Senior Seminar in Policing Spring 2023, Fall 2022 Graduate Teaching Assistant, Introduction to the Criminal Justice System      Spring 2021 </w:t>
      </w:r>
    </w:p>
    <w:p w:rsidR="009E0294" w:rsidRDefault="00000000">
      <w:pPr>
        <w:ind w:left="0" w:right="0"/>
      </w:pPr>
      <w:r>
        <w:lastRenderedPageBreak/>
        <w:t xml:space="preserve">Undergraduate Teaching Assistant, Criminal Punishment Spring 2020 Undergraduate Teaching Assistant, Juvenile Delinquency Fall 2020 </w:t>
      </w:r>
    </w:p>
    <w:p w:rsidR="009E0294" w:rsidRDefault="00000000">
      <w:pPr>
        <w:spacing w:after="0" w:line="259" w:lineRule="auto"/>
        <w:ind w:left="5" w:right="0" w:firstLine="0"/>
      </w:pPr>
      <w:r>
        <w:t xml:space="preserve"> </w:t>
      </w:r>
    </w:p>
    <w:p w:rsidR="009E0294" w:rsidRDefault="00000000">
      <w:pPr>
        <w:pStyle w:val="Heading2"/>
        <w:ind w:left="0"/>
      </w:pPr>
      <w:r>
        <w:t xml:space="preserve">Guest Lectures </w:t>
      </w:r>
    </w:p>
    <w:p w:rsidR="009E0294" w:rsidRDefault="00000000">
      <w:pPr>
        <w:spacing w:after="35"/>
        <w:ind w:left="0" w:right="0"/>
      </w:pPr>
      <w:r>
        <w:t xml:space="preserve">Guest Lecture at John Jay Criminal Justice Center, Webster University, Sam Houston State University:  </w:t>
      </w:r>
    </w:p>
    <w:p w:rsidR="009E0294" w:rsidRDefault="00000000">
      <w:pPr>
        <w:tabs>
          <w:tab w:val="right" w:pos="10089"/>
        </w:tabs>
        <w:spacing w:after="233"/>
        <w:ind w:left="-10" w:right="0" w:firstLine="0"/>
      </w:pPr>
      <w:r>
        <w:t xml:space="preserve">“Experiences Working in a Maximum-Security Prison” </w:t>
      </w:r>
      <w:r>
        <w:tab/>
        <w:t xml:space="preserve">2023 – 2026 </w:t>
      </w:r>
    </w:p>
    <w:p w:rsidR="009E0294" w:rsidRDefault="00000000">
      <w:pPr>
        <w:pStyle w:val="Heading1"/>
        <w:ind w:left="0"/>
      </w:pPr>
      <w:r>
        <w:t>PROFESSIONAL SERVICE</w:t>
      </w:r>
      <w:r>
        <w:rPr>
          <w:b w:val="0"/>
          <w:color w:val="000000"/>
        </w:rPr>
        <w:t xml:space="preserve"> </w:t>
      </w:r>
    </w:p>
    <w:p w:rsidR="009E0294" w:rsidRDefault="00000000">
      <w:pPr>
        <w:spacing w:after="159" w:line="259" w:lineRule="auto"/>
        <w:ind w:left="-25" w:right="-30" w:firstLine="0"/>
      </w:pPr>
      <w:r>
        <w:rPr>
          <w:rFonts w:ascii="Calibri" w:eastAsia="Calibri" w:hAnsi="Calibri" w:cs="Calibri"/>
          <w:noProof/>
          <w:sz w:val="22"/>
        </w:rPr>
        <mc:AlternateContent>
          <mc:Choice Requires="wpg">
            <w:drawing>
              <wp:inline distT="0" distB="0" distL="0" distR="0">
                <wp:extent cx="6441441" cy="9525"/>
                <wp:effectExtent l="0" t="0" r="0" b="0"/>
                <wp:docPr id="4572" name="Group 4572"/>
                <wp:cNvGraphicFramePr/>
                <a:graphic xmlns:a="http://schemas.openxmlformats.org/drawingml/2006/main">
                  <a:graphicData uri="http://schemas.microsoft.com/office/word/2010/wordprocessingGroup">
                    <wpg:wgp>
                      <wpg:cNvGrpSpPr/>
                      <wpg:grpSpPr>
                        <a:xfrm>
                          <a:off x="0" y="0"/>
                          <a:ext cx="6441441" cy="9525"/>
                          <a:chOff x="0" y="0"/>
                          <a:chExt cx="6441441" cy="9525"/>
                        </a:xfrm>
                      </wpg:grpSpPr>
                      <wps:wsp>
                        <wps:cNvPr id="6506" name="Shape 6506"/>
                        <wps:cNvSpPr/>
                        <wps:spPr>
                          <a:xfrm>
                            <a:off x="0" y="0"/>
                            <a:ext cx="6441441" cy="9525"/>
                          </a:xfrm>
                          <a:custGeom>
                            <a:avLst/>
                            <a:gdLst/>
                            <a:ahLst/>
                            <a:cxnLst/>
                            <a:rect l="0" t="0" r="0" b="0"/>
                            <a:pathLst>
                              <a:path w="6441441" h="9525">
                                <a:moveTo>
                                  <a:pt x="0" y="0"/>
                                </a:moveTo>
                                <a:lnTo>
                                  <a:pt x="6441441" y="0"/>
                                </a:lnTo>
                                <a:lnTo>
                                  <a:pt x="6441441" y="9525"/>
                                </a:lnTo>
                                <a:lnTo>
                                  <a:pt x="0" y="9525"/>
                                </a:lnTo>
                                <a:lnTo>
                                  <a:pt x="0" y="0"/>
                                </a:lnTo>
                              </a:path>
                            </a:pathLst>
                          </a:custGeom>
                          <a:ln w="0" cap="flat">
                            <a:miter lim="127000"/>
                          </a:ln>
                        </wps:spPr>
                        <wps:style>
                          <a:lnRef idx="0">
                            <a:srgbClr val="000000">
                              <a:alpha val="0"/>
                            </a:srgbClr>
                          </a:lnRef>
                          <a:fillRef idx="1">
                            <a:srgbClr val="444444"/>
                          </a:fillRef>
                          <a:effectRef idx="0">
                            <a:scrgbClr r="0" g="0" b="0"/>
                          </a:effectRef>
                          <a:fontRef idx="none"/>
                        </wps:style>
                        <wps:bodyPr/>
                      </wps:wsp>
                    </wpg:wgp>
                  </a:graphicData>
                </a:graphic>
              </wp:inline>
            </w:drawing>
          </mc:Choice>
          <mc:Fallback xmlns:a="http://schemas.openxmlformats.org/drawingml/2006/main">
            <w:pict>
              <v:group id="Group 4572" style="width:507.2pt;height:0.75pt;mso-position-horizontal-relative:char;mso-position-vertical-relative:line" coordsize="64414,95">
                <v:shape id="Shape 6507" style="position:absolute;width:64414;height:95;left:0;top:0;" coordsize="6441441,9525" path="m0,0l6441441,0l6441441,9525l0,9525l0,0">
                  <v:stroke weight="0pt" endcap="flat" joinstyle="miter" miterlimit="10" on="false" color="#000000" opacity="0"/>
                  <v:fill on="true" color="#444444"/>
                </v:shape>
              </v:group>
            </w:pict>
          </mc:Fallback>
        </mc:AlternateContent>
      </w:r>
    </w:p>
    <w:p w:rsidR="009E0294" w:rsidRDefault="00000000">
      <w:pPr>
        <w:ind w:left="0" w:right="0"/>
      </w:pPr>
      <w:r>
        <w:t xml:space="preserve">Ad Hoc Manuscript Reviewer </w:t>
      </w:r>
    </w:p>
    <w:p w:rsidR="009E0294" w:rsidRDefault="00000000">
      <w:pPr>
        <w:spacing w:after="3" w:line="259" w:lineRule="auto"/>
        <w:ind w:left="200" w:right="0"/>
      </w:pPr>
      <w:r>
        <w:rPr>
          <w:i/>
        </w:rPr>
        <w:t xml:space="preserve">Journal of Contemporary Criminal Justice </w:t>
      </w:r>
    </w:p>
    <w:p w:rsidR="009E0294" w:rsidRDefault="00000000">
      <w:pPr>
        <w:spacing w:after="3" w:line="259" w:lineRule="auto"/>
        <w:ind w:left="200" w:right="0"/>
      </w:pPr>
      <w:r>
        <w:rPr>
          <w:i/>
        </w:rPr>
        <w:t xml:space="preserve">Journal of Criminal Justice </w:t>
      </w:r>
    </w:p>
    <w:p w:rsidR="009E0294" w:rsidRDefault="00000000">
      <w:pPr>
        <w:spacing w:after="3" w:line="259" w:lineRule="auto"/>
        <w:ind w:left="200" w:right="0"/>
      </w:pPr>
      <w:r>
        <w:rPr>
          <w:i/>
        </w:rPr>
        <w:t xml:space="preserve">Corrections: Policy, Practice and Research </w:t>
      </w:r>
    </w:p>
    <w:p w:rsidR="009E0294" w:rsidRDefault="00000000">
      <w:pPr>
        <w:spacing w:after="0" w:line="259" w:lineRule="auto"/>
        <w:ind w:left="5" w:right="0" w:firstLine="0"/>
      </w:pPr>
      <w:r>
        <w:t xml:space="preserve"> </w:t>
      </w:r>
    </w:p>
    <w:tbl>
      <w:tblPr>
        <w:tblStyle w:val="TableGrid"/>
        <w:tblW w:w="10144" w:type="dxa"/>
        <w:tblInd w:w="5" w:type="dxa"/>
        <w:tblCellMar>
          <w:top w:w="0" w:type="dxa"/>
          <w:left w:w="0" w:type="dxa"/>
          <w:bottom w:w="0" w:type="dxa"/>
          <w:right w:w="0" w:type="dxa"/>
        </w:tblCellMar>
        <w:tblLook w:val="04A0" w:firstRow="1" w:lastRow="0" w:firstColumn="1" w:lastColumn="0" w:noHBand="0" w:noVBand="1"/>
      </w:tblPr>
      <w:tblGrid>
        <w:gridCol w:w="7203"/>
        <w:gridCol w:w="2941"/>
      </w:tblGrid>
      <w:tr w:rsidR="009E0294">
        <w:trPr>
          <w:trHeight w:val="259"/>
        </w:trPr>
        <w:tc>
          <w:tcPr>
            <w:tcW w:w="7203" w:type="dxa"/>
            <w:tcBorders>
              <w:top w:val="nil"/>
              <w:left w:val="nil"/>
              <w:bottom w:val="nil"/>
              <w:right w:val="nil"/>
            </w:tcBorders>
          </w:tcPr>
          <w:p w:rsidR="009E0294" w:rsidRDefault="00000000">
            <w:pPr>
              <w:spacing w:after="0" w:line="259" w:lineRule="auto"/>
              <w:ind w:left="0" w:right="0" w:firstLine="0"/>
            </w:pPr>
            <w:r>
              <w:t xml:space="preserve">University of Missouri-St. Louis </w:t>
            </w:r>
          </w:p>
        </w:tc>
        <w:tc>
          <w:tcPr>
            <w:tcW w:w="2941" w:type="dxa"/>
            <w:tcBorders>
              <w:top w:val="nil"/>
              <w:left w:val="nil"/>
              <w:bottom w:val="nil"/>
              <w:right w:val="nil"/>
            </w:tcBorders>
          </w:tcPr>
          <w:p w:rsidR="009E0294" w:rsidRDefault="009E0294">
            <w:pPr>
              <w:spacing w:after="160" w:line="259" w:lineRule="auto"/>
              <w:ind w:left="0" w:right="0" w:firstLine="0"/>
            </w:pPr>
          </w:p>
        </w:tc>
      </w:tr>
      <w:tr w:rsidR="009E0294">
        <w:trPr>
          <w:trHeight w:val="298"/>
        </w:trPr>
        <w:tc>
          <w:tcPr>
            <w:tcW w:w="7203" w:type="dxa"/>
            <w:tcBorders>
              <w:top w:val="nil"/>
              <w:left w:val="nil"/>
              <w:bottom w:val="nil"/>
              <w:right w:val="nil"/>
            </w:tcBorders>
          </w:tcPr>
          <w:p w:rsidR="009E0294" w:rsidRDefault="00000000">
            <w:pPr>
              <w:spacing w:after="0" w:line="259" w:lineRule="auto"/>
              <w:ind w:left="0" w:right="0" w:firstLine="0"/>
            </w:pPr>
            <w:r>
              <w:t xml:space="preserve">President, Graduate Student Association  </w:t>
            </w:r>
          </w:p>
        </w:tc>
        <w:tc>
          <w:tcPr>
            <w:tcW w:w="2941" w:type="dxa"/>
            <w:tcBorders>
              <w:top w:val="nil"/>
              <w:left w:val="nil"/>
              <w:bottom w:val="nil"/>
              <w:right w:val="nil"/>
            </w:tcBorders>
          </w:tcPr>
          <w:p w:rsidR="009E0294" w:rsidRDefault="00000000">
            <w:pPr>
              <w:spacing w:after="0" w:line="259" w:lineRule="auto"/>
              <w:ind w:left="0" w:right="0" w:firstLine="0"/>
              <w:jc w:val="both"/>
            </w:pPr>
            <w:r>
              <w:t xml:space="preserve">                            2024 – 2025 </w:t>
            </w:r>
          </w:p>
        </w:tc>
      </w:tr>
      <w:tr w:rsidR="009E0294">
        <w:trPr>
          <w:trHeight w:val="885"/>
        </w:trPr>
        <w:tc>
          <w:tcPr>
            <w:tcW w:w="7203" w:type="dxa"/>
            <w:tcBorders>
              <w:top w:val="nil"/>
              <w:left w:val="nil"/>
              <w:bottom w:val="nil"/>
              <w:right w:val="nil"/>
            </w:tcBorders>
          </w:tcPr>
          <w:p w:rsidR="009E0294" w:rsidRDefault="00000000">
            <w:pPr>
              <w:spacing w:after="0" w:line="259" w:lineRule="auto"/>
              <w:ind w:left="0" w:right="0" w:firstLine="0"/>
            </w:pPr>
            <w:r>
              <w:t xml:space="preserve">Peer Mentor  </w:t>
            </w:r>
          </w:p>
          <w:p w:rsidR="009E0294" w:rsidRDefault="00000000">
            <w:pPr>
              <w:spacing w:after="0" w:line="259" w:lineRule="auto"/>
              <w:ind w:left="0" w:right="0" w:firstLine="0"/>
            </w:pPr>
            <w:r>
              <w:t xml:space="preserve"> </w:t>
            </w:r>
          </w:p>
          <w:p w:rsidR="009E0294" w:rsidRDefault="00000000">
            <w:pPr>
              <w:spacing w:after="0" w:line="259" w:lineRule="auto"/>
              <w:ind w:left="0" w:right="0" w:firstLine="0"/>
            </w:pPr>
            <w:r>
              <w:rPr>
                <w:b/>
              </w:rPr>
              <w:t xml:space="preserve">PROFESSIONAL MEMBERSHIPS </w:t>
            </w:r>
          </w:p>
        </w:tc>
        <w:tc>
          <w:tcPr>
            <w:tcW w:w="2941" w:type="dxa"/>
            <w:tcBorders>
              <w:top w:val="nil"/>
              <w:left w:val="nil"/>
              <w:bottom w:val="nil"/>
              <w:right w:val="nil"/>
            </w:tcBorders>
          </w:tcPr>
          <w:p w:rsidR="009E0294" w:rsidRDefault="00000000">
            <w:pPr>
              <w:spacing w:after="0" w:line="259" w:lineRule="auto"/>
              <w:ind w:left="0" w:right="58" w:firstLine="0"/>
              <w:jc w:val="right"/>
            </w:pPr>
            <w:r>
              <w:t xml:space="preserve">            2025 – Present </w:t>
            </w:r>
          </w:p>
        </w:tc>
      </w:tr>
      <w:tr w:rsidR="009E0294">
        <w:trPr>
          <w:trHeight w:val="298"/>
        </w:trPr>
        <w:tc>
          <w:tcPr>
            <w:tcW w:w="7203" w:type="dxa"/>
            <w:tcBorders>
              <w:top w:val="nil"/>
              <w:left w:val="nil"/>
              <w:bottom w:val="nil"/>
              <w:right w:val="nil"/>
            </w:tcBorders>
          </w:tcPr>
          <w:p w:rsidR="009E0294" w:rsidRDefault="00000000">
            <w:pPr>
              <w:spacing w:after="0" w:line="259" w:lineRule="auto"/>
              <w:ind w:left="0" w:right="0" w:firstLine="0"/>
            </w:pPr>
            <w:r>
              <w:t xml:space="preserve">American Society of Criminology </w:t>
            </w:r>
          </w:p>
        </w:tc>
        <w:tc>
          <w:tcPr>
            <w:tcW w:w="2941" w:type="dxa"/>
            <w:tcBorders>
              <w:top w:val="nil"/>
              <w:left w:val="nil"/>
              <w:bottom w:val="nil"/>
              <w:right w:val="nil"/>
            </w:tcBorders>
          </w:tcPr>
          <w:p w:rsidR="009E0294" w:rsidRDefault="00000000">
            <w:pPr>
              <w:spacing w:after="0" w:line="259" w:lineRule="auto"/>
              <w:ind w:left="0" w:right="59" w:firstLine="0"/>
              <w:jc w:val="right"/>
            </w:pPr>
            <w:r>
              <w:t xml:space="preserve">                  2022 – Present </w:t>
            </w:r>
          </w:p>
        </w:tc>
      </w:tr>
      <w:tr w:rsidR="009E0294">
        <w:trPr>
          <w:trHeight w:val="888"/>
        </w:trPr>
        <w:tc>
          <w:tcPr>
            <w:tcW w:w="7203" w:type="dxa"/>
            <w:tcBorders>
              <w:top w:val="nil"/>
              <w:left w:val="nil"/>
              <w:bottom w:val="nil"/>
              <w:right w:val="nil"/>
            </w:tcBorders>
          </w:tcPr>
          <w:p w:rsidR="009E0294" w:rsidRDefault="00000000">
            <w:pPr>
              <w:spacing w:after="0" w:line="259" w:lineRule="auto"/>
              <w:ind w:left="0" w:right="0" w:firstLine="0"/>
            </w:pPr>
            <w:r>
              <w:t xml:space="preserve">Division of Corrections and Sentencing, Member  </w:t>
            </w:r>
          </w:p>
          <w:p w:rsidR="009E0294" w:rsidRDefault="00000000">
            <w:pPr>
              <w:spacing w:after="0" w:line="259" w:lineRule="auto"/>
              <w:ind w:left="0" w:right="0" w:firstLine="0"/>
            </w:pPr>
            <w:r>
              <w:t xml:space="preserve">   </w:t>
            </w:r>
            <w:r>
              <w:rPr>
                <w:i/>
              </w:rPr>
              <w:t xml:space="preserve">Special Events Committee </w:t>
            </w:r>
          </w:p>
          <w:p w:rsidR="009E0294" w:rsidRDefault="00000000">
            <w:pPr>
              <w:spacing w:after="0" w:line="259" w:lineRule="auto"/>
              <w:ind w:left="0" w:right="0" w:firstLine="0"/>
            </w:pPr>
            <w:r>
              <w:rPr>
                <w:i/>
              </w:rPr>
              <w:t xml:space="preserve">   Outreach Committee </w:t>
            </w:r>
          </w:p>
        </w:tc>
        <w:tc>
          <w:tcPr>
            <w:tcW w:w="2941" w:type="dxa"/>
            <w:tcBorders>
              <w:top w:val="nil"/>
              <w:left w:val="nil"/>
              <w:bottom w:val="nil"/>
              <w:right w:val="nil"/>
            </w:tcBorders>
          </w:tcPr>
          <w:p w:rsidR="009E0294" w:rsidRDefault="00000000">
            <w:pPr>
              <w:spacing w:after="0" w:line="259" w:lineRule="auto"/>
              <w:ind w:left="0" w:right="59" w:firstLine="0"/>
              <w:jc w:val="right"/>
            </w:pPr>
            <w:r>
              <w:t xml:space="preserve">2024 – Present </w:t>
            </w:r>
          </w:p>
        </w:tc>
      </w:tr>
      <w:tr w:rsidR="009E0294">
        <w:trPr>
          <w:trHeight w:val="593"/>
        </w:trPr>
        <w:tc>
          <w:tcPr>
            <w:tcW w:w="7203" w:type="dxa"/>
            <w:tcBorders>
              <w:top w:val="nil"/>
              <w:left w:val="nil"/>
              <w:bottom w:val="nil"/>
              <w:right w:val="nil"/>
            </w:tcBorders>
          </w:tcPr>
          <w:p w:rsidR="009E0294" w:rsidRDefault="00000000">
            <w:pPr>
              <w:spacing w:after="0" w:line="259" w:lineRule="auto"/>
              <w:ind w:left="0" w:right="0" w:firstLine="0"/>
            </w:pPr>
            <w:r>
              <w:t xml:space="preserve"> </w:t>
            </w:r>
          </w:p>
          <w:p w:rsidR="009E0294" w:rsidRDefault="00000000">
            <w:pPr>
              <w:spacing w:after="0" w:line="259" w:lineRule="auto"/>
              <w:ind w:left="0" w:right="0" w:firstLine="0"/>
            </w:pPr>
            <w:r>
              <w:rPr>
                <w:b/>
              </w:rPr>
              <w:t xml:space="preserve">PROFESSIONAL EXPERIENCE </w:t>
            </w:r>
          </w:p>
        </w:tc>
        <w:tc>
          <w:tcPr>
            <w:tcW w:w="2941" w:type="dxa"/>
            <w:tcBorders>
              <w:top w:val="nil"/>
              <w:left w:val="nil"/>
              <w:bottom w:val="nil"/>
              <w:right w:val="nil"/>
            </w:tcBorders>
          </w:tcPr>
          <w:p w:rsidR="009E0294" w:rsidRDefault="00000000">
            <w:pPr>
              <w:spacing w:after="0" w:line="259" w:lineRule="auto"/>
              <w:ind w:left="0" w:right="0" w:firstLine="0"/>
              <w:jc w:val="right"/>
            </w:pPr>
            <w:r>
              <w:t xml:space="preserve"> </w:t>
            </w:r>
          </w:p>
        </w:tc>
      </w:tr>
      <w:tr w:rsidR="009E0294">
        <w:trPr>
          <w:trHeight w:val="297"/>
        </w:trPr>
        <w:tc>
          <w:tcPr>
            <w:tcW w:w="7203" w:type="dxa"/>
            <w:tcBorders>
              <w:top w:val="nil"/>
              <w:left w:val="nil"/>
              <w:bottom w:val="nil"/>
              <w:right w:val="nil"/>
            </w:tcBorders>
          </w:tcPr>
          <w:p w:rsidR="009E0294" w:rsidRDefault="00000000">
            <w:pPr>
              <w:spacing w:after="0" w:line="259" w:lineRule="auto"/>
              <w:ind w:left="0" w:right="0" w:firstLine="0"/>
            </w:pPr>
            <w:r>
              <w:t xml:space="preserve">Correctional Officer, Lebanon Correctional Institution </w:t>
            </w:r>
          </w:p>
        </w:tc>
        <w:tc>
          <w:tcPr>
            <w:tcW w:w="2941" w:type="dxa"/>
            <w:tcBorders>
              <w:top w:val="nil"/>
              <w:left w:val="nil"/>
              <w:bottom w:val="nil"/>
              <w:right w:val="nil"/>
            </w:tcBorders>
          </w:tcPr>
          <w:p w:rsidR="009E0294" w:rsidRDefault="00000000">
            <w:pPr>
              <w:spacing w:after="0" w:line="259" w:lineRule="auto"/>
              <w:ind w:left="0" w:right="60" w:firstLine="0"/>
              <w:jc w:val="right"/>
            </w:pPr>
            <w:r>
              <w:t xml:space="preserve">2021 – 2022 </w:t>
            </w:r>
          </w:p>
        </w:tc>
      </w:tr>
      <w:tr w:rsidR="009E0294">
        <w:trPr>
          <w:trHeight w:val="257"/>
        </w:trPr>
        <w:tc>
          <w:tcPr>
            <w:tcW w:w="7203" w:type="dxa"/>
            <w:tcBorders>
              <w:top w:val="nil"/>
              <w:left w:val="nil"/>
              <w:bottom w:val="nil"/>
              <w:right w:val="nil"/>
            </w:tcBorders>
          </w:tcPr>
          <w:p w:rsidR="009E0294" w:rsidRDefault="00000000">
            <w:pPr>
              <w:spacing w:after="0" w:line="259" w:lineRule="auto"/>
              <w:ind w:left="0" w:right="0" w:firstLine="0"/>
            </w:pPr>
            <w:r>
              <w:t xml:space="preserve">Psychology Intern, Iowa Medical Classification Center </w:t>
            </w:r>
          </w:p>
        </w:tc>
        <w:tc>
          <w:tcPr>
            <w:tcW w:w="2941" w:type="dxa"/>
            <w:tcBorders>
              <w:top w:val="nil"/>
              <w:left w:val="nil"/>
              <w:bottom w:val="nil"/>
              <w:right w:val="nil"/>
            </w:tcBorders>
          </w:tcPr>
          <w:p w:rsidR="009E0294" w:rsidRDefault="00000000">
            <w:pPr>
              <w:spacing w:after="0" w:line="259" w:lineRule="auto"/>
              <w:ind w:left="0" w:right="60" w:firstLine="0"/>
              <w:jc w:val="right"/>
            </w:pPr>
            <w:r>
              <w:t xml:space="preserve">2018 </w:t>
            </w:r>
          </w:p>
        </w:tc>
      </w:tr>
    </w:tbl>
    <w:p w:rsidR="002E05FD" w:rsidRDefault="002E05FD"/>
    <w:sectPr w:rsidR="002E05FD">
      <w:headerReference w:type="even" r:id="rId7"/>
      <w:headerReference w:type="default" r:id="rId8"/>
      <w:headerReference w:type="first" r:id="rId9"/>
      <w:pgSz w:w="12240" w:h="15840"/>
      <w:pgMar w:top="974" w:right="1076" w:bottom="1009" w:left="1076" w:header="751"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E05FD" w:rsidRDefault="002E05FD">
      <w:pPr>
        <w:spacing w:after="0" w:line="240" w:lineRule="auto"/>
      </w:pPr>
      <w:r>
        <w:separator/>
      </w:r>
    </w:p>
  </w:endnote>
  <w:endnote w:type="continuationSeparator" w:id="0">
    <w:p w:rsidR="002E05FD" w:rsidRDefault="002E0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E05FD" w:rsidRDefault="002E05FD">
      <w:pPr>
        <w:spacing w:after="0" w:line="240" w:lineRule="auto"/>
      </w:pPr>
      <w:r>
        <w:separator/>
      </w:r>
    </w:p>
  </w:footnote>
  <w:footnote w:type="continuationSeparator" w:id="0">
    <w:p w:rsidR="002E05FD" w:rsidRDefault="002E05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E0294" w:rsidRDefault="00000000">
    <w:pPr>
      <w:tabs>
        <w:tab w:val="right" w:pos="10089"/>
      </w:tabs>
      <w:spacing w:after="0" w:line="259" w:lineRule="auto"/>
      <w:ind w:left="0" w:right="0" w:firstLine="0"/>
    </w:pPr>
    <w:r>
      <w:rPr>
        <w:color w:val="ADADAD"/>
        <w:sz w:val="18"/>
      </w:rPr>
      <w:t xml:space="preserve"> </w:t>
    </w:r>
    <w:r>
      <w:rPr>
        <w:color w:val="ADADAD"/>
        <w:sz w:val="18"/>
      </w:rPr>
      <w:tab/>
    </w:r>
    <w:r>
      <w:fldChar w:fldCharType="begin"/>
    </w:r>
    <w:r>
      <w:instrText xml:space="preserve"> PAGE   \* MERGEFORMAT </w:instrText>
    </w:r>
    <w:r>
      <w:fldChar w:fldCharType="separate"/>
    </w:r>
    <w:r>
      <w:rPr>
        <w:sz w:val="20"/>
      </w:rPr>
      <w:t>1</w:t>
    </w:r>
    <w:r>
      <w:rPr>
        <w:sz w:val="20"/>
      </w:rPr>
      <w:fldChar w:fldCharType="end"/>
    </w:r>
    <w:r>
      <w:rPr>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E0294" w:rsidRDefault="00000000">
    <w:pPr>
      <w:tabs>
        <w:tab w:val="right" w:pos="10089"/>
      </w:tabs>
      <w:spacing w:after="0" w:line="259" w:lineRule="auto"/>
      <w:ind w:left="0" w:right="0" w:firstLine="0"/>
    </w:pPr>
    <w:r>
      <w:rPr>
        <w:color w:val="ADADAD"/>
        <w:sz w:val="18"/>
      </w:rPr>
      <w:t xml:space="preserve"> </w:t>
    </w:r>
    <w:r>
      <w:rPr>
        <w:color w:val="ADADAD"/>
        <w:sz w:val="18"/>
      </w:rPr>
      <w:tab/>
    </w:r>
    <w:r>
      <w:fldChar w:fldCharType="begin"/>
    </w:r>
    <w:r>
      <w:instrText xml:space="preserve"> PAGE   \* MERGEFORMAT </w:instrText>
    </w:r>
    <w:r>
      <w:fldChar w:fldCharType="separate"/>
    </w:r>
    <w:r>
      <w:rPr>
        <w:sz w:val="20"/>
      </w:rPr>
      <w:t>1</w:t>
    </w:r>
    <w:r>
      <w:rPr>
        <w:sz w:val="20"/>
      </w:rPr>
      <w:fldChar w:fldCharType="end"/>
    </w:r>
    <w:r>
      <w:rPr>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E0294" w:rsidRDefault="00000000">
    <w:pPr>
      <w:tabs>
        <w:tab w:val="right" w:pos="10089"/>
      </w:tabs>
      <w:spacing w:after="0" w:line="259" w:lineRule="auto"/>
      <w:ind w:left="0" w:right="0" w:firstLine="0"/>
    </w:pPr>
    <w:r>
      <w:rPr>
        <w:color w:val="ADADAD"/>
        <w:sz w:val="18"/>
      </w:rPr>
      <w:t xml:space="preserve"> </w:t>
    </w:r>
    <w:r>
      <w:rPr>
        <w:color w:val="ADADAD"/>
        <w:sz w:val="18"/>
      </w:rPr>
      <w:tab/>
    </w:r>
    <w:r>
      <w:fldChar w:fldCharType="begin"/>
    </w:r>
    <w:r>
      <w:instrText xml:space="preserve"> PAGE   \* MERGEFORMAT </w:instrText>
    </w:r>
    <w:r>
      <w:fldChar w:fldCharType="separate"/>
    </w:r>
    <w:r>
      <w:rPr>
        <w:sz w:val="20"/>
      </w:rPr>
      <w:t>1</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D31BD5"/>
    <w:multiLevelType w:val="hybridMultilevel"/>
    <w:tmpl w:val="DFAA11DE"/>
    <w:lvl w:ilvl="0" w:tplc="DF3A5666">
      <w:start w:val="1"/>
      <w:numFmt w:val="bullet"/>
      <w:lvlText w:val="•"/>
      <w:lvlJc w:val="left"/>
      <w:pPr>
        <w:ind w:left="7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116053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C8EA3F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1C0E7E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3D473D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BA650F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64CBB1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5407F2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DC6AE4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7C70077"/>
    <w:multiLevelType w:val="hybridMultilevel"/>
    <w:tmpl w:val="B254C75C"/>
    <w:lvl w:ilvl="0" w:tplc="970C4EFC">
      <w:start w:val="1"/>
      <w:numFmt w:val="bullet"/>
      <w:lvlText w:val="•"/>
      <w:lvlJc w:val="left"/>
      <w:pPr>
        <w:ind w:left="7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76C27C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EAE4B8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37E624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42467C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666AE4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102522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596041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9F822D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438789474">
    <w:abstractNumId w:val="1"/>
  </w:num>
  <w:num w:numId="2" w16cid:durableId="1644769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294"/>
    <w:rsid w:val="002E05FD"/>
    <w:rsid w:val="00451EC1"/>
    <w:rsid w:val="004F12C2"/>
    <w:rsid w:val="009E0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AE7B81-F200-484A-AA92-D76507170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 w:line="248" w:lineRule="auto"/>
      <w:ind w:left="10" w:right="7" w:hanging="1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0" w:line="259" w:lineRule="auto"/>
      <w:ind w:left="15" w:hanging="10"/>
      <w:outlineLvl w:val="0"/>
    </w:pPr>
    <w:rPr>
      <w:rFonts w:ascii="Times New Roman" w:eastAsia="Times New Roman" w:hAnsi="Times New Roman" w:cs="Times New Roman"/>
      <w:b/>
      <w:color w:val="1F1F1F"/>
    </w:rPr>
  </w:style>
  <w:style w:type="paragraph" w:styleId="Heading2">
    <w:name w:val="heading 2"/>
    <w:next w:val="Normal"/>
    <w:link w:val="Heading2Char"/>
    <w:uiPriority w:val="9"/>
    <w:unhideWhenUsed/>
    <w:qFormat/>
    <w:pPr>
      <w:keepNext/>
      <w:keepLines/>
      <w:spacing w:after="3" w:line="259" w:lineRule="auto"/>
      <w:ind w:left="15" w:hanging="10"/>
      <w:outlineLvl w:val="1"/>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1Char">
    <w:name w:val="Heading 1 Char"/>
    <w:link w:val="Heading1"/>
    <w:rPr>
      <w:rFonts w:ascii="Times New Roman" w:eastAsia="Times New Roman" w:hAnsi="Times New Roman" w:cs="Times New Roman"/>
      <w:b/>
      <w:color w:val="1F1F1F"/>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1210</Words>
  <Characters>6903</Characters>
  <Application>Microsoft Office Word</Application>
  <DocSecurity>0</DocSecurity>
  <Lines>57</Lines>
  <Paragraphs>16</Paragraphs>
  <ScaleCrop>false</ScaleCrop>
  <Company/>
  <LinksUpToDate>false</LinksUpToDate>
  <CharactersWithSpaces>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Helfrich, Hannah</cp:lastModifiedBy>
  <cp:revision>2</cp:revision>
  <dcterms:created xsi:type="dcterms:W3CDTF">2026-10-12T17:30:00Z</dcterms:created>
  <dcterms:modified xsi:type="dcterms:W3CDTF">2026-10-12T17:30:00Z</dcterms:modified>
</cp:coreProperties>
</file>