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83" w:rsidRDefault="00633D83" w:rsidP="00633D83">
      <w:pPr>
        <w:spacing w:after="200" w:line="276" w:lineRule="auto"/>
        <w:jc w:val="center"/>
        <w:rPr>
          <w:b/>
        </w:rPr>
      </w:pPr>
      <w:r>
        <w:rPr>
          <w:b/>
        </w:rPr>
        <w:t>Invest</w:t>
      </w:r>
      <w:r w:rsidR="00A15C5F">
        <w:rPr>
          <w:b/>
        </w:rPr>
        <w:t>ing</w:t>
      </w:r>
      <w:r>
        <w:rPr>
          <w:b/>
        </w:rPr>
        <w:t xml:space="preserve"> in</w:t>
      </w:r>
      <w:r w:rsidR="00A84E33">
        <w:rPr>
          <w:b/>
        </w:rPr>
        <w:t xml:space="preserve"> Stocks in</w:t>
      </w:r>
      <w:r>
        <w:rPr>
          <w:b/>
        </w:rPr>
        <w:t>side</w:t>
      </w:r>
      <w:r w:rsidR="00A84E33">
        <w:rPr>
          <w:b/>
        </w:rPr>
        <w:t xml:space="preserve"> Retirement Accounts and Bonds in Taxable Acc</w:t>
      </w:r>
      <w:r>
        <w:rPr>
          <w:b/>
        </w:rPr>
        <w:t>ounts</w:t>
      </w:r>
    </w:p>
    <w:p w:rsidR="00000C27" w:rsidRDefault="00000C27" w:rsidP="00633D83">
      <w:pPr>
        <w:spacing w:after="200" w:line="276" w:lineRule="auto"/>
        <w:jc w:val="center"/>
        <w:rPr>
          <w:b/>
        </w:rPr>
      </w:pPr>
    </w:p>
    <w:p w:rsidR="00000C27" w:rsidRDefault="00000C27" w:rsidP="00000C27">
      <w:pPr>
        <w:spacing w:after="200" w:line="276" w:lineRule="auto"/>
      </w:pPr>
      <w:r>
        <w:rPr>
          <w:b/>
        </w:rPr>
        <w:t xml:space="preserve">Abstract: </w:t>
      </w:r>
      <w:r w:rsidR="00007B18">
        <w:t xml:space="preserve">It is </w:t>
      </w:r>
      <w:r w:rsidR="001201B8">
        <w:t>widely</w:t>
      </w:r>
      <w:r w:rsidR="004E3900">
        <w:t xml:space="preserve"> </w:t>
      </w:r>
      <w:r w:rsidR="001201B8">
        <w:t xml:space="preserve">held </w:t>
      </w:r>
      <w:r w:rsidR="00642208">
        <w:t xml:space="preserve">that </w:t>
      </w:r>
      <w:r w:rsidR="006C52E7" w:rsidRPr="00E553C3">
        <w:t>invest</w:t>
      </w:r>
      <w:r w:rsidR="00007B18">
        <w:t>ing</w:t>
      </w:r>
      <w:r w:rsidR="006C52E7" w:rsidRPr="00E553C3">
        <w:t xml:space="preserve"> in bonds inside retirement accounts and stocks inside taxable accounts</w:t>
      </w:r>
      <w:r w:rsidR="00007B18">
        <w:t xml:space="preserve"> is tax efficient</w:t>
      </w:r>
      <w:r w:rsidR="006C52E7" w:rsidRPr="00E553C3">
        <w:t xml:space="preserve">. This </w:t>
      </w:r>
      <w:r w:rsidR="00642208">
        <w:t>view</w:t>
      </w:r>
      <w:r w:rsidR="006C52E7" w:rsidRPr="00E553C3">
        <w:t xml:space="preserve"> leads to the rule of thumb, “</w:t>
      </w:r>
      <w:r w:rsidR="004E3900">
        <w:t>H</w:t>
      </w:r>
      <w:r w:rsidR="006C52E7" w:rsidRPr="00E553C3">
        <w:t>old ordinary income</w:t>
      </w:r>
      <w:r w:rsidR="004E3900">
        <w:t>-</w:t>
      </w:r>
      <w:r w:rsidR="006C52E7" w:rsidRPr="00E553C3">
        <w:t>producing investments inside retirement account</w:t>
      </w:r>
      <w:r w:rsidR="001A5A3D" w:rsidRPr="00E553C3">
        <w:t>s</w:t>
      </w:r>
      <w:r w:rsidR="006C52E7" w:rsidRPr="00E553C3">
        <w:t xml:space="preserve">.” </w:t>
      </w:r>
      <w:r w:rsidR="008313CD">
        <w:t>T</w:t>
      </w:r>
      <w:r w:rsidR="006C52E7" w:rsidRPr="00E553C3">
        <w:t>his rule does not stand up to scrutiny. If the economic environment is one of low expected inflation, low expected bond returns, and expected stock returns about double (or more) than bond returns, this article shows that invest</w:t>
      </w:r>
      <w:r w:rsidR="00007B18">
        <w:t>ing</w:t>
      </w:r>
      <w:r w:rsidR="006C52E7" w:rsidRPr="00E553C3">
        <w:t xml:space="preserve"> in stocks with contributions to retirement accounts and buying investment</w:t>
      </w:r>
      <w:r w:rsidR="00F14CC0">
        <w:t>-</w:t>
      </w:r>
      <w:r w:rsidR="006C52E7" w:rsidRPr="00E553C3">
        <w:t xml:space="preserve">grade bonds in taxable accounts </w:t>
      </w:r>
      <w:r w:rsidR="00007B18">
        <w:t>are</w:t>
      </w:r>
      <w:r w:rsidR="00007B18" w:rsidRPr="00E553C3">
        <w:t xml:space="preserve"> </w:t>
      </w:r>
      <w:r w:rsidR="006C52E7" w:rsidRPr="00E553C3">
        <w:t>wealth maximizing.</w:t>
      </w:r>
    </w:p>
    <w:p w:rsidR="00BC26CD" w:rsidRDefault="00BC26CD" w:rsidP="00BC26CD">
      <w:pPr>
        <w:tabs>
          <w:tab w:val="left" w:pos="1440"/>
          <w:tab w:val="left" w:pos="4680"/>
        </w:tabs>
        <w:spacing w:line="480" w:lineRule="auto"/>
        <w:jc w:val="center"/>
      </w:pPr>
      <w:proofErr w:type="gramStart"/>
      <w:r>
        <w:t>by</w:t>
      </w:r>
      <w:proofErr w:type="gramEnd"/>
    </w:p>
    <w:p w:rsidR="00BC26CD" w:rsidRPr="00E15C81" w:rsidRDefault="00BC26CD" w:rsidP="00BC26CD">
      <w:pPr>
        <w:tabs>
          <w:tab w:val="left" w:pos="1440"/>
          <w:tab w:val="left" w:pos="4680"/>
        </w:tabs>
        <w:spacing w:line="480" w:lineRule="auto"/>
      </w:pPr>
      <w:r w:rsidRPr="00F84164">
        <w:t>Gregory G. Geisler, PhD, CPA, is a professor of</w:t>
      </w:r>
      <w:r>
        <w:t xml:space="preserve"> </w:t>
      </w:r>
      <w:r w:rsidRPr="00F84164">
        <w:t xml:space="preserve">accounting at University of Missouri–St. Louis. </w:t>
      </w:r>
      <w:r>
        <w:t xml:space="preserve">His research focuses on taxes and financial planning. </w:t>
      </w:r>
      <w:r w:rsidRPr="00F84164">
        <w:t xml:space="preserve">He teaches </w:t>
      </w:r>
      <w:r>
        <w:t xml:space="preserve">a class on </w:t>
      </w:r>
      <w:r w:rsidRPr="00F84164">
        <w:t>taxes and investments to students pursuing the Master</w:t>
      </w:r>
      <w:r>
        <w:t xml:space="preserve"> </w:t>
      </w:r>
      <w:r w:rsidRPr="00F84164">
        <w:t xml:space="preserve">of Accounting degree. He can be reached at </w:t>
      </w:r>
      <w:hyperlink r:id="rId9" w:history="1">
        <w:r w:rsidRPr="00377606">
          <w:rPr>
            <w:rStyle w:val="Hyperlink"/>
          </w:rPr>
          <w:t>geisler@umsl.edu</w:t>
        </w:r>
      </w:hyperlink>
      <w:r w:rsidRPr="00F84164">
        <w:t>.</w:t>
      </w:r>
      <w:r>
        <w:t xml:space="preserve"> </w:t>
      </w:r>
    </w:p>
    <w:p w:rsidR="00633D83" w:rsidRDefault="00633D83" w:rsidP="00633D83">
      <w:pPr>
        <w:spacing w:after="200" w:line="276" w:lineRule="auto"/>
        <w:jc w:val="center"/>
        <w:rPr>
          <w:b/>
        </w:rPr>
      </w:pPr>
    </w:p>
    <w:p w:rsidR="00000C27" w:rsidRDefault="00000C27" w:rsidP="00633D83">
      <w:pPr>
        <w:spacing w:after="200" w:line="276" w:lineRule="auto"/>
        <w:jc w:val="center"/>
        <w:rPr>
          <w:b/>
        </w:rPr>
      </w:pPr>
    </w:p>
    <w:p w:rsidR="00FD4CC4" w:rsidRDefault="00BC26CD" w:rsidP="00633D83">
      <w:pPr>
        <w:spacing w:after="200" w:line="276" w:lineRule="auto"/>
        <w:jc w:val="center"/>
      </w:pPr>
      <w:r>
        <w:t>June</w:t>
      </w:r>
      <w:bookmarkStart w:id="0" w:name="_GoBack"/>
      <w:bookmarkEnd w:id="0"/>
      <w:r w:rsidR="006940F6">
        <w:t xml:space="preserve"> 2017</w:t>
      </w:r>
    </w:p>
    <w:p w:rsidR="003615C8" w:rsidRDefault="003615C8" w:rsidP="00D85E86">
      <w:pPr>
        <w:spacing w:after="200" w:line="276" w:lineRule="auto"/>
        <w:rPr>
          <w:b/>
        </w:rPr>
        <w:sectPr w:rsidR="003615C8" w:rsidSect="00900384">
          <w:endnotePr>
            <w:numFmt w:val="decimal"/>
          </w:endnotePr>
          <w:type w:val="continuous"/>
          <w:pgSz w:w="12240" w:h="15840"/>
          <w:pgMar w:top="1440" w:right="1440" w:bottom="1440" w:left="1440" w:header="720" w:footer="720" w:gutter="0"/>
          <w:cols w:space="720"/>
          <w:docGrid w:linePitch="360"/>
        </w:sectPr>
      </w:pPr>
    </w:p>
    <w:p w:rsidR="00054D4D" w:rsidRPr="00DE4DF6" w:rsidRDefault="005F4F3F" w:rsidP="0027184B">
      <w:pPr>
        <w:pStyle w:val="Title"/>
        <w:spacing w:line="480" w:lineRule="auto"/>
        <w:ind w:firstLine="720"/>
        <w:jc w:val="left"/>
        <w:rPr>
          <w:rFonts w:ascii="Times New Roman" w:hAnsi="Times New Roman"/>
          <w:b w:val="0"/>
          <w:sz w:val="24"/>
        </w:rPr>
      </w:pPr>
      <w:r>
        <w:rPr>
          <w:rFonts w:ascii="Times New Roman" w:hAnsi="Times New Roman"/>
          <w:b w:val="0"/>
          <w:sz w:val="24"/>
        </w:rPr>
        <w:lastRenderedPageBreak/>
        <w:t>Personal finance writers such as Jonath</w:t>
      </w:r>
      <w:r w:rsidR="009B3924">
        <w:rPr>
          <w:rFonts w:ascii="Times New Roman" w:hAnsi="Times New Roman"/>
          <w:b w:val="0"/>
          <w:sz w:val="24"/>
        </w:rPr>
        <w:t>a</w:t>
      </w:r>
      <w:r>
        <w:rPr>
          <w:rFonts w:ascii="Times New Roman" w:hAnsi="Times New Roman"/>
          <w:b w:val="0"/>
          <w:sz w:val="24"/>
        </w:rPr>
        <w:t xml:space="preserve">n Clements </w:t>
      </w:r>
      <w:r w:rsidR="004743EA">
        <w:rPr>
          <w:rFonts w:ascii="Times New Roman" w:hAnsi="Times New Roman"/>
          <w:b w:val="0"/>
          <w:sz w:val="24"/>
        </w:rPr>
        <w:t>(201</w:t>
      </w:r>
      <w:r w:rsidR="006940F6">
        <w:rPr>
          <w:rFonts w:ascii="Times New Roman" w:hAnsi="Times New Roman"/>
          <w:b w:val="0"/>
          <w:sz w:val="24"/>
        </w:rPr>
        <w:t>6</w:t>
      </w:r>
      <w:r w:rsidR="00024B69">
        <w:rPr>
          <w:rFonts w:ascii="Times New Roman" w:hAnsi="Times New Roman"/>
          <w:b w:val="0"/>
          <w:sz w:val="24"/>
        </w:rPr>
        <w:t xml:space="preserve">) </w:t>
      </w:r>
      <w:r>
        <w:rPr>
          <w:rFonts w:ascii="Times New Roman" w:hAnsi="Times New Roman"/>
          <w:b w:val="0"/>
          <w:sz w:val="24"/>
        </w:rPr>
        <w:t xml:space="preserve">recommend having </w:t>
      </w:r>
      <w:r w:rsidR="00B95086" w:rsidRPr="00B95086">
        <w:rPr>
          <w:rFonts w:ascii="Times New Roman" w:hAnsi="Times New Roman"/>
          <w:b w:val="0"/>
          <w:sz w:val="24"/>
        </w:rPr>
        <w:t>“tax-efficient investments in your taxable account, while using your retirement accounts to hold investments tha</w:t>
      </w:r>
      <w:r w:rsidR="00B95086">
        <w:rPr>
          <w:rFonts w:ascii="Times New Roman" w:hAnsi="Times New Roman"/>
          <w:b w:val="0"/>
          <w:sz w:val="24"/>
        </w:rPr>
        <w:t>t generate big annual tax bills</w:t>
      </w:r>
      <w:r w:rsidR="00024B69">
        <w:rPr>
          <w:rFonts w:ascii="Times New Roman" w:hAnsi="Times New Roman"/>
          <w:b w:val="0"/>
          <w:sz w:val="24"/>
        </w:rPr>
        <w:t>.</w:t>
      </w:r>
      <w:r w:rsidR="00B95086">
        <w:rPr>
          <w:rFonts w:ascii="Times New Roman" w:hAnsi="Times New Roman"/>
          <w:b w:val="0"/>
          <w:sz w:val="24"/>
        </w:rPr>
        <w:t>”</w:t>
      </w:r>
      <w:r>
        <w:rPr>
          <w:rFonts w:ascii="Times New Roman" w:hAnsi="Times New Roman"/>
          <w:b w:val="0"/>
          <w:sz w:val="24"/>
        </w:rPr>
        <w:t xml:space="preserve"> </w:t>
      </w:r>
      <w:r w:rsidR="00C81E14">
        <w:rPr>
          <w:rFonts w:ascii="Times New Roman" w:hAnsi="Times New Roman"/>
          <w:b w:val="0"/>
          <w:sz w:val="24"/>
        </w:rPr>
        <w:t xml:space="preserve">How to properly apply this </w:t>
      </w:r>
      <w:r w:rsidR="008E4E27">
        <w:rPr>
          <w:rFonts w:ascii="Times New Roman" w:hAnsi="Times New Roman"/>
          <w:b w:val="0"/>
          <w:sz w:val="24"/>
        </w:rPr>
        <w:t xml:space="preserve">advice </w:t>
      </w:r>
      <w:r w:rsidR="00C81E14">
        <w:rPr>
          <w:rFonts w:ascii="Times New Roman" w:hAnsi="Times New Roman"/>
          <w:b w:val="0"/>
          <w:sz w:val="24"/>
        </w:rPr>
        <w:t xml:space="preserve">is </w:t>
      </w:r>
      <w:r w:rsidR="008E4E27">
        <w:rPr>
          <w:rFonts w:ascii="Times New Roman" w:hAnsi="Times New Roman"/>
          <w:b w:val="0"/>
          <w:sz w:val="24"/>
        </w:rPr>
        <w:t xml:space="preserve">a </w:t>
      </w:r>
      <w:r w:rsidR="00C81E14">
        <w:rPr>
          <w:rFonts w:ascii="Times New Roman" w:hAnsi="Times New Roman"/>
          <w:b w:val="0"/>
          <w:sz w:val="24"/>
        </w:rPr>
        <w:t>challenge.</w:t>
      </w:r>
      <w:r>
        <w:rPr>
          <w:rFonts w:ascii="Times New Roman" w:hAnsi="Times New Roman"/>
          <w:b w:val="0"/>
          <w:sz w:val="24"/>
        </w:rPr>
        <w:t xml:space="preserve"> </w:t>
      </w:r>
      <w:r w:rsidR="00156F42">
        <w:rPr>
          <w:rFonts w:ascii="Times New Roman" w:hAnsi="Times New Roman"/>
          <w:b w:val="0"/>
          <w:sz w:val="24"/>
        </w:rPr>
        <w:t xml:space="preserve">Generally, the advice </w:t>
      </w:r>
      <w:r w:rsidR="00900384">
        <w:rPr>
          <w:rFonts w:ascii="Times New Roman" w:hAnsi="Times New Roman"/>
          <w:b w:val="0"/>
          <w:sz w:val="24"/>
        </w:rPr>
        <w:t xml:space="preserve">on </w:t>
      </w:r>
      <w:r w:rsidR="00054D4D">
        <w:rPr>
          <w:rFonts w:ascii="Times New Roman" w:hAnsi="Times New Roman"/>
          <w:b w:val="0"/>
          <w:sz w:val="24"/>
        </w:rPr>
        <w:t xml:space="preserve">where to hold stocks and bonds </w:t>
      </w:r>
      <w:r w:rsidR="006172DD">
        <w:rPr>
          <w:rFonts w:ascii="Times New Roman" w:hAnsi="Times New Roman"/>
          <w:b w:val="0"/>
          <w:sz w:val="24"/>
        </w:rPr>
        <w:t>assume</w:t>
      </w:r>
      <w:r w:rsidR="00156F42">
        <w:rPr>
          <w:rFonts w:ascii="Times New Roman" w:hAnsi="Times New Roman"/>
          <w:b w:val="0"/>
          <w:sz w:val="24"/>
        </w:rPr>
        <w:t>s</w:t>
      </w:r>
      <w:r w:rsidR="006172DD">
        <w:rPr>
          <w:rFonts w:ascii="Times New Roman" w:hAnsi="Times New Roman"/>
          <w:b w:val="0"/>
          <w:sz w:val="24"/>
        </w:rPr>
        <w:t xml:space="preserve"> </w:t>
      </w:r>
      <w:r w:rsidR="00054D4D" w:rsidRPr="00DE4DF6">
        <w:rPr>
          <w:rFonts w:ascii="Times New Roman" w:hAnsi="Times New Roman"/>
          <w:b w:val="0"/>
          <w:sz w:val="24"/>
        </w:rPr>
        <w:t xml:space="preserve">the tax law </w:t>
      </w:r>
      <w:r w:rsidR="006172DD">
        <w:rPr>
          <w:rFonts w:ascii="Times New Roman" w:hAnsi="Times New Roman"/>
          <w:b w:val="0"/>
          <w:sz w:val="24"/>
        </w:rPr>
        <w:t xml:space="preserve">is </w:t>
      </w:r>
      <w:r w:rsidR="00054D4D" w:rsidRPr="00DE4DF6">
        <w:rPr>
          <w:rFonts w:ascii="Times New Roman" w:hAnsi="Times New Roman"/>
          <w:b w:val="0"/>
          <w:sz w:val="24"/>
        </w:rPr>
        <w:t xml:space="preserve">the only relevant factor </w:t>
      </w:r>
      <w:r w:rsidR="00900384">
        <w:rPr>
          <w:rFonts w:ascii="Times New Roman" w:hAnsi="Times New Roman"/>
          <w:b w:val="0"/>
          <w:sz w:val="24"/>
        </w:rPr>
        <w:t>for</w:t>
      </w:r>
      <w:r w:rsidR="00054D4D" w:rsidRPr="00DE4DF6">
        <w:rPr>
          <w:rFonts w:ascii="Times New Roman" w:hAnsi="Times New Roman"/>
          <w:b w:val="0"/>
          <w:sz w:val="24"/>
        </w:rPr>
        <w:t xml:space="preserve"> where a high</w:t>
      </w:r>
      <w:r w:rsidR="00054D4D">
        <w:rPr>
          <w:rFonts w:ascii="Times New Roman" w:hAnsi="Times New Roman"/>
          <w:b w:val="0"/>
          <w:sz w:val="24"/>
        </w:rPr>
        <w:t>-</w:t>
      </w:r>
      <w:r w:rsidR="00054D4D" w:rsidRPr="00DE4DF6">
        <w:rPr>
          <w:rFonts w:ascii="Times New Roman" w:hAnsi="Times New Roman"/>
          <w:b w:val="0"/>
          <w:sz w:val="24"/>
        </w:rPr>
        <w:t>income individual</w:t>
      </w:r>
      <w:r w:rsidR="00054D4D">
        <w:rPr>
          <w:rFonts w:ascii="Times New Roman" w:hAnsi="Times New Roman"/>
          <w:b w:val="0"/>
          <w:sz w:val="24"/>
        </w:rPr>
        <w:t>’s</w:t>
      </w:r>
      <w:r w:rsidR="00054D4D" w:rsidRPr="00DE4DF6">
        <w:rPr>
          <w:rFonts w:ascii="Times New Roman" w:hAnsi="Times New Roman"/>
          <w:b w:val="0"/>
          <w:sz w:val="24"/>
        </w:rPr>
        <w:t xml:space="preserve"> </w:t>
      </w:r>
      <w:r w:rsidR="00054D4D">
        <w:rPr>
          <w:rFonts w:ascii="Times New Roman" w:hAnsi="Times New Roman"/>
          <w:b w:val="0"/>
          <w:sz w:val="24"/>
        </w:rPr>
        <w:t>investments should be held</w:t>
      </w:r>
      <w:r w:rsidR="00054D4D" w:rsidRPr="00DE4DF6">
        <w:rPr>
          <w:rFonts w:ascii="Times New Roman" w:hAnsi="Times New Roman"/>
          <w:b w:val="0"/>
          <w:sz w:val="24"/>
        </w:rPr>
        <w:t xml:space="preserve"> </w:t>
      </w:r>
      <w:r w:rsidR="006172DD">
        <w:rPr>
          <w:rFonts w:ascii="Times New Roman" w:hAnsi="Times New Roman"/>
          <w:b w:val="0"/>
          <w:sz w:val="24"/>
        </w:rPr>
        <w:t xml:space="preserve">and </w:t>
      </w:r>
      <w:r w:rsidR="00156F42">
        <w:rPr>
          <w:rFonts w:ascii="Times New Roman" w:hAnsi="Times New Roman"/>
          <w:b w:val="0"/>
          <w:sz w:val="24"/>
        </w:rPr>
        <w:t xml:space="preserve">a </w:t>
      </w:r>
      <w:r w:rsidR="006172DD">
        <w:rPr>
          <w:rFonts w:ascii="Times New Roman" w:hAnsi="Times New Roman"/>
          <w:b w:val="0"/>
          <w:sz w:val="24"/>
        </w:rPr>
        <w:t>typical suggest</w:t>
      </w:r>
      <w:r w:rsidR="00156F42">
        <w:rPr>
          <w:rFonts w:ascii="Times New Roman" w:hAnsi="Times New Roman"/>
          <w:b w:val="0"/>
          <w:sz w:val="24"/>
        </w:rPr>
        <w:t>ion is</w:t>
      </w:r>
      <w:r w:rsidR="00054D4D">
        <w:rPr>
          <w:rFonts w:ascii="Times New Roman" w:hAnsi="Times New Roman"/>
          <w:b w:val="0"/>
          <w:sz w:val="24"/>
        </w:rPr>
        <w:t xml:space="preserve"> the following: </w:t>
      </w:r>
      <w:r w:rsidR="00900384">
        <w:rPr>
          <w:rFonts w:ascii="Times New Roman" w:hAnsi="Times New Roman"/>
          <w:b w:val="0"/>
          <w:sz w:val="24"/>
        </w:rPr>
        <w:t>hold taxable bonds in retirement accounts while holding stock index funds in the taxable account.</w:t>
      </w:r>
      <w:r w:rsidR="0064564D">
        <w:rPr>
          <w:rStyle w:val="EndnoteReference"/>
          <w:rFonts w:ascii="Times New Roman" w:hAnsi="Times New Roman"/>
          <w:b w:val="0"/>
          <w:sz w:val="24"/>
        </w:rPr>
        <w:endnoteReference w:id="1"/>
      </w:r>
    </w:p>
    <w:p w:rsidR="005F4F3F" w:rsidRDefault="005F4F3F" w:rsidP="0027184B">
      <w:pPr>
        <w:pStyle w:val="Title"/>
        <w:spacing w:line="480" w:lineRule="auto"/>
        <w:ind w:firstLine="720"/>
        <w:jc w:val="left"/>
        <w:rPr>
          <w:rFonts w:ascii="Times New Roman" w:hAnsi="Times New Roman"/>
          <w:b w:val="0"/>
          <w:sz w:val="24"/>
        </w:rPr>
      </w:pPr>
      <w:r w:rsidRPr="00054D4D">
        <w:rPr>
          <w:rFonts w:ascii="Times New Roman" w:hAnsi="Times New Roman"/>
          <w:b w:val="0"/>
          <w:sz w:val="24"/>
          <w:szCs w:val="24"/>
        </w:rPr>
        <w:t xml:space="preserve">However, Anderson and Murphy </w:t>
      </w:r>
      <w:r w:rsidR="004743EA">
        <w:rPr>
          <w:rFonts w:ascii="Times New Roman" w:hAnsi="Times New Roman"/>
          <w:b w:val="0"/>
          <w:sz w:val="24"/>
          <w:szCs w:val="24"/>
        </w:rPr>
        <w:t>(2014)</w:t>
      </w:r>
      <w:r>
        <w:rPr>
          <w:rFonts w:ascii="Times New Roman" w:hAnsi="Times New Roman"/>
          <w:b w:val="0"/>
          <w:sz w:val="24"/>
        </w:rPr>
        <w:t xml:space="preserve"> point out that </w:t>
      </w:r>
      <w:r w:rsidR="00900384">
        <w:rPr>
          <w:rFonts w:ascii="Times New Roman" w:hAnsi="Times New Roman"/>
          <w:b w:val="0"/>
          <w:sz w:val="24"/>
        </w:rPr>
        <w:t xml:space="preserve">tax rates </w:t>
      </w:r>
      <w:r w:rsidR="00156F42">
        <w:rPr>
          <w:rFonts w:ascii="Times New Roman" w:hAnsi="Times New Roman"/>
          <w:b w:val="0"/>
          <w:sz w:val="24"/>
        </w:rPr>
        <w:t xml:space="preserve">are one of three factors </w:t>
      </w:r>
      <w:r w:rsidR="00900384">
        <w:rPr>
          <w:rFonts w:ascii="Times New Roman" w:hAnsi="Times New Roman"/>
          <w:b w:val="0"/>
          <w:sz w:val="24"/>
        </w:rPr>
        <w:t>that matter</w:t>
      </w:r>
      <w:r w:rsidR="00520616">
        <w:rPr>
          <w:rFonts w:ascii="Times New Roman" w:hAnsi="Times New Roman"/>
          <w:b w:val="0"/>
          <w:sz w:val="24"/>
        </w:rPr>
        <w:t>:</w:t>
      </w:r>
      <w:r w:rsidR="00900384">
        <w:rPr>
          <w:rFonts w:ascii="Times New Roman" w:hAnsi="Times New Roman"/>
          <w:b w:val="0"/>
          <w:sz w:val="24"/>
        </w:rPr>
        <w:t xml:space="preserve"> </w:t>
      </w:r>
      <w:r>
        <w:rPr>
          <w:rFonts w:ascii="Times New Roman" w:hAnsi="Times New Roman"/>
          <w:b w:val="0"/>
          <w:sz w:val="24"/>
        </w:rPr>
        <w:t>“</w:t>
      </w:r>
      <w:r w:rsidR="006F7FA1">
        <w:rPr>
          <w:rFonts w:ascii="Times New Roman" w:hAnsi="Times New Roman"/>
          <w:b w:val="0"/>
          <w:sz w:val="24"/>
        </w:rPr>
        <w:t>T</w:t>
      </w:r>
      <w:r>
        <w:rPr>
          <w:rFonts w:ascii="Times New Roman" w:hAnsi="Times New Roman"/>
          <w:b w:val="0"/>
          <w:sz w:val="24"/>
        </w:rPr>
        <w:t xml:space="preserve">he best </w:t>
      </w:r>
      <w:r w:rsidR="00F44BA2">
        <w:rPr>
          <w:rFonts w:ascii="Times New Roman" w:hAnsi="Times New Roman"/>
          <w:b w:val="0"/>
          <w:sz w:val="24"/>
        </w:rPr>
        <w:t>(</w:t>
      </w:r>
      <w:r>
        <w:rPr>
          <w:rFonts w:ascii="Times New Roman" w:hAnsi="Times New Roman"/>
          <w:b w:val="0"/>
          <w:sz w:val="24"/>
        </w:rPr>
        <w:t>location</w:t>
      </w:r>
      <w:r w:rsidR="00156F42">
        <w:rPr>
          <w:rFonts w:ascii="Times New Roman" w:hAnsi="Times New Roman"/>
          <w:b w:val="0"/>
          <w:sz w:val="24"/>
        </w:rPr>
        <w:t>)</w:t>
      </w:r>
      <w:r>
        <w:rPr>
          <w:rFonts w:ascii="Times New Roman" w:hAnsi="Times New Roman"/>
          <w:b w:val="0"/>
          <w:sz w:val="24"/>
        </w:rPr>
        <w:t xml:space="preserve"> depends on</w:t>
      </w:r>
      <w:r w:rsidR="00156F42">
        <w:rPr>
          <w:rFonts w:ascii="Times New Roman" w:hAnsi="Times New Roman"/>
          <w:b w:val="0"/>
          <w:sz w:val="24"/>
        </w:rPr>
        <w:t xml:space="preserve"> factors such as </w:t>
      </w:r>
      <w:r>
        <w:rPr>
          <w:rFonts w:ascii="Times New Roman" w:hAnsi="Times New Roman"/>
          <w:b w:val="0"/>
          <w:sz w:val="24"/>
        </w:rPr>
        <w:t>rate</w:t>
      </w:r>
      <w:r w:rsidR="00156F42">
        <w:rPr>
          <w:rFonts w:ascii="Times New Roman" w:hAnsi="Times New Roman"/>
          <w:b w:val="0"/>
          <w:sz w:val="24"/>
        </w:rPr>
        <w:t>s</w:t>
      </w:r>
      <w:r>
        <w:rPr>
          <w:rFonts w:ascii="Times New Roman" w:hAnsi="Times New Roman"/>
          <w:b w:val="0"/>
          <w:sz w:val="24"/>
        </w:rPr>
        <w:t xml:space="preserve"> of return, tax rates, and the investment horizon.”</w:t>
      </w:r>
      <w:r w:rsidR="00535D72">
        <w:rPr>
          <w:rFonts w:ascii="Times New Roman" w:hAnsi="Times New Roman"/>
          <w:b w:val="0"/>
          <w:sz w:val="24"/>
        </w:rPr>
        <w:t xml:space="preserve"> </w:t>
      </w:r>
      <w:r w:rsidR="0064564D">
        <w:rPr>
          <w:rFonts w:ascii="Times New Roman" w:hAnsi="Times New Roman"/>
          <w:b w:val="0"/>
          <w:sz w:val="24"/>
        </w:rPr>
        <w:t>Because of their tax-favored treatment</w:t>
      </w:r>
      <w:r>
        <w:rPr>
          <w:rFonts w:ascii="Times New Roman" w:hAnsi="Times New Roman"/>
          <w:b w:val="0"/>
          <w:sz w:val="24"/>
        </w:rPr>
        <w:t xml:space="preserve">, any retirement account </w:t>
      </w:r>
      <w:r w:rsidR="0064564D">
        <w:rPr>
          <w:rFonts w:ascii="Times New Roman" w:hAnsi="Times New Roman"/>
          <w:b w:val="0"/>
          <w:sz w:val="24"/>
        </w:rPr>
        <w:t xml:space="preserve">results in </w:t>
      </w:r>
      <w:r>
        <w:rPr>
          <w:rFonts w:ascii="Times New Roman" w:hAnsi="Times New Roman"/>
          <w:b w:val="0"/>
          <w:sz w:val="24"/>
        </w:rPr>
        <w:t>an investment hav</w:t>
      </w:r>
      <w:r w:rsidR="0064564D">
        <w:rPr>
          <w:rFonts w:ascii="Times New Roman" w:hAnsi="Times New Roman"/>
          <w:b w:val="0"/>
          <w:sz w:val="24"/>
        </w:rPr>
        <w:t>ing</w:t>
      </w:r>
      <w:r w:rsidR="003B127C">
        <w:rPr>
          <w:rFonts w:ascii="Times New Roman" w:hAnsi="Times New Roman"/>
          <w:b w:val="0"/>
          <w:sz w:val="24"/>
        </w:rPr>
        <w:t xml:space="preserve"> a higher after-tax rate of return than the same investment’s after-tax rate of return if it is held in a taxable (i.e., </w:t>
      </w:r>
      <w:r w:rsidR="00535D72">
        <w:rPr>
          <w:rFonts w:ascii="Times New Roman" w:hAnsi="Times New Roman"/>
          <w:b w:val="0"/>
          <w:sz w:val="24"/>
        </w:rPr>
        <w:t>personal</w:t>
      </w:r>
      <w:r w:rsidR="001A5A3D">
        <w:rPr>
          <w:rFonts w:ascii="Times New Roman" w:hAnsi="Times New Roman"/>
          <w:b w:val="0"/>
          <w:sz w:val="24"/>
        </w:rPr>
        <w:t xml:space="preserve"> or</w:t>
      </w:r>
      <w:r w:rsidR="003B127C">
        <w:rPr>
          <w:rFonts w:ascii="Times New Roman" w:hAnsi="Times New Roman"/>
          <w:b w:val="0"/>
          <w:sz w:val="24"/>
        </w:rPr>
        <w:t xml:space="preserve"> nonqualified) account.</w:t>
      </w:r>
      <w:r w:rsidR="006172DD">
        <w:rPr>
          <w:rStyle w:val="EndnoteReference"/>
          <w:rFonts w:ascii="Times New Roman" w:hAnsi="Times New Roman"/>
          <w:b w:val="0"/>
          <w:sz w:val="24"/>
        </w:rPr>
        <w:endnoteReference w:id="2"/>
      </w:r>
      <w:r w:rsidR="003B127C">
        <w:rPr>
          <w:rFonts w:ascii="Times New Roman" w:hAnsi="Times New Roman"/>
          <w:b w:val="0"/>
          <w:sz w:val="24"/>
        </w:rPr>
        <w:t xml:space="preserve"> </w:t>
      </w:r>
      <w:r w:rsidR="00900384">
        <w:rPr>
          <w:rFonts w:ascii="Times New Roman" w:hAnsi="Times New Roman"/>
          <w:b w:val="0"/>
          <w:sz w:val="24"/>
        </w:rPr>
        <w:t xml:space="preserve">Given this fact, from </w:t>
      </w:r>
      <w:r w:rsidR="00C903FC">
        <w:rPr>
          <w:rFonts w:ascii="Times New Roman" w:hAnsi="Times New Roman"/>
          <w:b w:val="0"/>
          <w:sz w:val="24"/>
        </w:rPr>
        <w:t>a</w:t>
      </w:r>
      <w:r w:rsidR="00900384">
        <w:rPr>
          <w:rFonts w:ascii="Times New Roman" w:hAnsi="Times New Roman"/>
          <w:b w:val="0"/>
          <w:sz w:val="24"/>
        </w:rPr>
        <w:t xml:space="preserve"> tax efficiency viewpoint</w:t>
      </w:r>
      <w:r w:rsidR="00C903FC">
        <w:rPr>
          <w:rFonts w:ascii="Times New Roman" w:hAnsi="Times New Roman"/>
          <w:b w:val="0"/>
          <w:sz w:val="24"/>
        </w:rPr>
        <w:t>, to</w:t>
      </w:r>
      <w:r w:rsidR="001A5A3D">
        <w:rPr>
          <w:rFonts w:ascii="Times New Roman" w:hAnsi="Times New Roman"/>
          <w:b w:val="0"/>
          <w:sz w:val="24"/>
        </w:rPr>
        <w:t xml:space="preserve"> </w:t>
      </w:r>
      <w:r w:rsidR="00634961">
        <w:rPr>
          <w:rFonts w:ascii="Times New Roman" w:hAnsi="Times New Roman"/>
          <w:b w:val="0"/>
          <w:sz w:val="24"/>
        </w:rPr>
        <w:t>maximiz</w:t>
      </w:r>
      <w:r w:rsidR="00C903FC">
        <w:rPr>
          <w:rFonts w:ascii="Times New Roman" w:hAnsi="Times New Roman"/>
          <w:b w:val="0"/>
          <w:sz w:val="24"/>
        </w:rPr>
        <w:t>e</w:t>
      </w:r>
      <w:r w:rsidR="00634961">
        <w:rPr>
          <w:rFonts w:ascii="Times New Roman" w:hAnsi="Times New Roman"/>
          <w:b w:val="0"/>
          <w:sz w:val="24"/>
        </w:rPr>
        <w:t xml:space="preserve"> wealth</w:t>
      </w:r>
      <w:r w:rsidR="00900384">
        <w:rPr>
          <w:rFonts w:ascii="Times New Roman" w:hAnsi="Times New Roman"/>
          <w:b w:val="0"/>
          <w:sz w:val="24"/>
        </w:rPr>
        <w:t xml:space="preserve"> all investments should be </w:t>
      </w:r>
      <w:r w:rsidR="00634961">
        <w:rPr>
          <w:rFonts w:ascii="Times New Roman" w:hAnsi="Times New Roman"/>
          <w:b w:val="0"/>
          <w:sz w:val="24"/>
        </w:rPr>
        <w:t xml:space="preserve">held inside retirement accounts. However, many individual investors invest some funds inside retirement accounts and some funds in taxable accounts each year. The latter investments are </w:t>
      </w:r>
      <w:r w:rsidR="001A5A3D">
        <w:rPr>
          <w:rFonts w:ascii="Times New Roman" w:hAnsi="Times New Roman"/>
          <w:b w:val="0"/>
          <w:sz w:val="24"/>
        </w:rPr>
        <w:t xml:space="preserve">generally </w:t>
      </w:r>
      <w:r w:rsidR="00634961">
        <w:rPr>
          <w:rFonts w:ascii="Times New Roman" w:hAnsi="Times New Roman"/>
          <w:b w:val="0"/>
          <w:sz w:val="24"/>
        </w:rPr>
        <w:t>made either for liquidity reasons or because the individual invests more for the year than is allowed inside all of his or her retirement account opportunities. This article ignores the former reason for investing in taxable accounts and focuses on the latter.</w:t>
      </w:r>
    </w:p>
    <w:p w:rsidR="00634961" w:rsidRDefault="00634961" w:rsidP="0027184B">
      <w:pPr>
        <w:pStyle w:val="Title"/>
        <w:spacing w:line="480" w:lineRule="auto"/>
        <w:jc w:val="left"/>
        <w:rPr>
          <w:rFonts w:ascii="Times New Roman" w:hAnsi="Times New Roman"/>
          <w:b w:val="0"/>
          <w:sz w:val="24"/>
        </w:rPr>
      </w:pPr>
    </w:p>
    <w:p w:rsidR="00634961" w:rsidRPr="00535D72" w:rsidRDefault="00634961" w:rsidP="0027184B">
      <w:pPr>
        <w:pStyle w:val="Title"/>
        <w:spacing w:line="480" w:lineRule="auto"/>
        <w:jc w:val="left"/>
        <w:rPr>
          <w:rFonts w:ascii="Times New Roman" w:hAnsi="Times New Roman"/>
          <w:sz w:val="24"/>
        </w:rPr>
      </w:pPr>
      <w:r w:rsidRPr="00535D72">
        <w:rPr>
          <w:rFonts w:ascii="Times New Roman" w:hAnsi="Times New Roman"/>
          <w:sz w:val="24"/>
        </w:rPr>
        <w:t xml:space="preserve">Prior </w:t>
      </w:r>
      <w:r w:rsidR="00535D72">
        <w:rPr>
          <w:rFonts w:ascii="Times New Roman" w:hAnsi="Times New Roman"/>
          <w:sz w:val="24"/>
        </w:rPr>
        <w:t>R</w:t>
      </w:r>
      <w:r w:rsidRPr="00535D72">
        <w:rPr>
          <w:rFonts w:ascii="Times New Roman" w:hAnsi="Times New Roman"/>
          <w:sz w:val="24"/>
        </w:rPr>
        <w:t>esearch</w:t>
      </w:r>
    </w:p>
    <w:p w:rsidR="00634961" w:rsidRDefault="00634961" w:rsidP="0027184B">
      <w:pPr>
        <w:pStyle w:val="Title"/>
        <w:spacing w:line="480" w:lineRule="auto"/>
        <w:jc w:val="left"/>
        <w:rPr>
          <w:rFonts w:ascii="Times New Roman" w:hAnsi="Times New Roman"/>
          <w:b w:val="0"/>
          <w:sz w:val="24"/>
        </w:rPr>
      </w:pPr>
    </w:p>
    <w:p w:rsidR="003172F0" w:rsidRDefault="00634961" w:rsidP="0027184B">
      <w:pPr>
        <w:pStyle w:val="Title"/>
        <w:spacing w:line="480" w:lineRule="auto"/>
        <w:ind w:firstLine="720"/>
        <w:jc w:val="left"/>
        <w:rPr>
          <w:rFonts w:ascii="Times New Roman" w:hAnsi="Times New Roman"/>
          <w:b w:val="0"/>
          <w:sz w:val="24"/>
        </w:rPr>
      </w:pPr>
      <w:r>
        <w:rPr>
          <w:rFonts w:ascii="Times New Roman" w:hAnsi="Times New Roman"/>
          <w:b w:val="0"/>
          <w:sz w:val="24"/>
        </w:rPr>
        <w:t xml:space="preserve">Prior research has come to conflicting conclusions about whether to hold stocks or bonds inside taxable accounts versus retirement accounts. </w:t>
      </w:r>
      <w:r w:rsidR="003A467C">
        <w:rPr>
          <w:rFonts w:ascii="Times New Roman" w:hAnsi="Times New Roman"/>
          <w:b w:val="0"/>
          <w:sz w:val="24"/>
        </w:rPr>
        <w:t xml:space="preserve">Dammon, Spatt, and Zhang (2004) conclude </w:t>
      </w:r>
      <w:r w:rsidR="003A467C">
        <w:rPr>
          <w:rFonts w:ascii="Times New Roman" w:hAnsi="Times New Roman"/>
          <w:b w:val="0"/>
          <w:sz w:val="24"/>
        </w:rPr>
        <w:lastRenderedPageBreak/>
        <w:t xml:space="preserve">that there is a “strong preference for holding taxable bonds in the tax-deferred </w:t>
      </w:r>
      <w:r w:rsidR="00C903FC">
        <w:rPr>
          <w:rFonts w:ascii="Times New Roman" w:hAnsi="Times New Roman"/>
          <w:b w:val="0"/>
          <w:sz w:val="24"/>
        </w:rPr>
        <w:t xml:space="preserve">[401(k); traditional IRA] </w:t>
      </w:r>
      <w:r w:rsidR="003A467C">
        <w:rPr>
          <w:rFonts w:ascii="Times New Roman" w:hAnsi="Times New Roman"/>
          <w:b w:val="0"/>
          <w:sz w:val="24"/>
        </w:rPr>
        <w:t>account and equity in the taxable account.”</w:t>
      </w:r>
      <w:r w:rsidR="00F15412">
        <w:rPr>
          <w:rFonts w:ascii="Times New Roman" w:hAnsi="Times New Roman"/>
          <w:b w:val="0"/>
          <w:sz w:val="24"/>
        </w:rPr>
        <w:t xml:space="preserve"> </w:t>
      </w:r>
      <w:r w:rsidR="001E304F">
        <w:rPr>
          <w:rFonts w:ascii="Times New Roman" w:hAnsi="Times New Roman"/>
          <w:b w:val="0"/>
          <w:sz w:val="24"/>
        </w:rPr>
        <w:t xml:space="preserve">The analysis by </w:t>
      </w:r>
      <w:r w:rsidR="00024B69">
        <w:rPr>
          <w:rFonts w:ascii="Times New Roman" w:hAnsi="Times New Roman"/>
          <w:b w:val="0"/>
          <w:sz w:val="24"/>
        </w:rPr>
        <w:t xml:space="preserve">Horan </w:t>
      </w:r>
      <w:r w:rsidR="001E304F">
        <w:rPr>
          <w:rFonts w:ascii="Times New Roman" w:hAnsi="Times New Roman"/>
          <w:b w:val="0"/>
          <w:sz w:val="24"/>
        </w:rPr>
        <w:t xml:space="preserve">and Al Zaman </w:t>
      </w:r>
      <w:r w:rsidR="005C67AE">
        <w:rPr>
          <w:rFonts w:ascii="Times New Roman" w:hAnsi="Times New Roman"/>
          <w:b w:val="0"/>
          <w:sz w:val="24"/>
        </w:rPr>
        <w:t xml:space="preserve">(2008) </w:t>
      </w:r>
      <w:r w:rsidR="001E304F">
        <w:rPr>
          <w:rFonts w:ascii="Times New Roman" w:hAnsi="Times New Roman"/>
          <w:b w:val="0"/>
          <w:sz w:val="24"/>
        </w:rPr>
        <w:t xml:space="preserve">concludes that equity generally should “be located in the taxable account because it is relatively tax efficient.”  </w:t>
      </w:r>
      <w:r w:rsidR="00F15412">
        <w:rPr>
          <w:rFonts w:ascii="Times New Roman" w:hAnsi="Times New Roman"/>
          <w:b w:val="0"/>
          <w:sz w:val="24"/>
        </w:rPr>
        <w:t xml:space="preserve">In </w:t>
      </w:r>
      <w:r w:rsidR="00B24B95">
        <w:rPr>
          <w:rFonts w:ascii="Times New Roman" w:hAnsi="Times New Roman"/>
          <w:b w:val="0"/>
          <w:sz w:val="24"/>
        </w:rPr>
        <w:t>three</w:t>
      </w:r>
      <w:r w:rsidR="00F15412">
        <w:rPr>
          <w:rFonts w:ascii="Times New Roman" w:hAnsi="Times New Roman"/>
          <w:b w:val="0"/>
          <w:sz w:val="24"/>
        </w:rPr>
        <w:t xml:space="preserve"> papers that Reichenstein either sol</w:t>
      </w:r>
      <w:r w:rsidR="00024B69">
        <w:rPr>
          <w:rFonts w:ascii="Times New Roman" w:hAnsi="Times New Roman"/>
          <w:b w:val="0"/>
          <w:sz w:val="24"/>
        </w:rPr>
        <w:t>e-</w:t>
      </w:r>
      <w:r w:rsidR="00F15412">
        <w:rPr>
          <w:rFonts w:ascii="Times New Roman" w:hAnsi="Times New Roman"/>
          <w:b w:val="0"/>
          <w:sz w:val="24"/>
        </w:rPr>
        <w:t>authored or coauthored, the conclusions include the following: “</w:t>
      </w:r>
      <w:r w:rsidR="00F135BD">
        <w:rPr>
          <w:rFonts w:ascii="Times New Roman" w:hAnsi="Times New Roman"/>
          <w:b w:val="0"/>
          <w:sz w:val="24"/>
        </w:rPr>
        <w:t>T</w:t>
      </w:r>
      <w:r w:rsidR="00B24B95">
        <w:rPr>
          <w:rFonts w:ascii="Times New Roman" w:hAnsi="Times New Roman"/>
          <w:b w:val="0"/>
          <w:sz w:val="24"/>
        </w:rPr>
        <w:t>he optimal asset location is to… hold stocks in taxable accounts”</w:t>
      </w:r>
      <w:r w:rsidR="00AA2625">
        <w:rPr>
          <w:rFonts w:ascii="Times New Roman" w:hAnsi="Times New Roman"/>
          <w:b w:val="0"/>
          <w:sz w:val="24"/>
        </w:rPr>
        <w:t xml:space="preserve"> from Reichenstein (2007</w:t>
      </w:r>
      <w:r w:rsidR="009F401E">
        <w:rPr>
          <w:rFonts w:ascii="Times New Roman" w:hAnsi="Times New Roman"/>
          <w:b w:val="0"/>
          <w:sz w:val="24"/>
        </w:rPr>
        <w:t>a</w:t>
      </w:r>
      <w:r w:rsidR="00AA2625">
        <w:rPr>
          <w:rFonts w:ascii="Times New Roman" w:hAnsi="Times New Roman"/>
          <w:b w:val="0"/>
          <w:sz w:val="24"/>
        </w:rPr>
        <w:t>)</w:t>
      </w:r>
      <w:r w:rsidR="00B24B95">
        <w:rPr>
          <w:rFonts w:ascii="Times New Roman" w:hAnsi="Times New Roman"/>
          <w:b w:val="0"/>
          <w:sz w:val="24"/>
        </w:rPr>
        <w:t>; “</w:t>
      </w:r>
      <w:r w:rsidR="00F135BD">
        <w:rPr>
          <w:rFonts w:ascii="Times New Roman" w:hAnsi="Times New Roman"/>
          <w:b w:val="0"/>
          <w:sz w:val="24"/>
        </w:rPr>
        <w:t>E</w:t>
      </w:r>
      <w:r w:rsidR="00B24B95">
        <w:rPr>
          <w:rFonts w:ascii="Times New Roman" w:hAnsi="Times New Roman"/>
          <w:b w:val="0"/>
          <w:sz w:val="24"/>
        </w:rPr>
        <w:t>xcept in extreme cases, individuals should locate bonds in retirement accounts and stocks in taxable accounts”</w:t>
      </w:r>
      <w:r w:rsidR="00AA2625">
        <w:rPr>
          <w:rFonts w:ascii="Times New Roman" w:hAnsi="Times New Roman"/>
          <w:b w:val="0"/>
          <w:sz w:val="24"/>
        </w:rPr>
        <w:t xml:space="preserve"> from Reichenstein (2007</w:t>
      </w:r>
      <w:r w:rsidR="009F401E">
        <w:rPr>
          <w:rFonts w:ascii="Times New Roman" w:hAnsi="Times New Roman"/>
          <w:b w:val="0"/>
          <w:sz w:val="24"/>
        </w:rPr>
        <w:t>b</w:t>
      </w:r>
      <w:r w:rsidR="00AA2625">
        <w:rPr>
          <w:rFonts w:ascii="Times New Roman" w:hAnsi="Times New Roman"/>
          <w:b w:val="0"/>
          <w:sz w:val="24"/>
        </w:rPr>
        <w:t>)</w:t>
      </w:r>
      <w:r w:rsidR="00B24B95">
        <w:rPr>
          <w:rFonts w:ascii="Times New Roman" w:hAnsi="Times New Roman"/>
          <w:b w:val="0"/>
          <w:sz w:val="24"/>
        </w:rPr>
        <w:t>; and “</w:t>
      </w:r>
      <w:r w:rsidR="00F135BD">
        <w:rPr>
          <w:rFonts w:ascii="Times New Roman" w:hAnsi="Times New Roman"/>
          <w:b w:val="0"/>
          <w:sz w:val="24"/>
        </w:rPr>
        <w:t>E</w:t>
      </w:r>
      <w:r w:rsidR="00B24B95">
        <w:rPr>
          <w:rFonts w:ascii="Times New Roman" w:hAnsi="Times New Roman"/>
          <w:b w:val="0"/>
          <w:sz w:val="24"/>
        </w:rPr>
        <w:t>xcept in rare cases, investors should hold stocks in taxable accounts and bonds in retirement accounts”</w:t>
      </w:r>
      <w:r w:rsidR="00AA2625">
        <w:rPr>
          <w:rFonts w:ascii="Times New Roman" w:hAnsi="Times New Roman"/>
          <w:b w:val="0"/>
          <w:sz w:val="24"/>
        </w:rPr>
        <w:t xml:space="preserve"> from Reichenstein and M</w:t>
      </w:r>
      <w:r w:rsidR="001A5A3D">
        <w:rPr>
          <w:rFonts w:ascii="Times New Roman" w:hAnsi="Times New Roman"/>
          <w:b w:val="0"/>
          <w:sz w:val="24"/>
        </w:rPr>
        <w:t>e</w:t>
      </w:r>
      <w:r w:rsidR="00AA2625">
        <w:rPr>
          <w:rFonts w:ascii="Times New Roman" w:hAnsi="Times New Roman"/>
          <w:b w:val="0"/>
          <w:sz w:val="24"/>
        </w:rPr>
        <w:t>yer (2013).</w:t>
      </w:r>
      <w:r w:rsidR="00B24B95">
        <w:rPr>
          <w:rFonts w:ascii="Times New Roman" w:hAnsi="Times New Roman"/>
          <w:b w:val="0"/>
          <w:sz w:val="24"/>
        </w:rPr>
        <w:t xml:space="preserve"> </w:t>
      </w:r>
      <w:r w:rsidR="005E7A7E">
        <w:rPr>
          <w:rFonts w:ascii="Times New Roman" w:hAnsi="Times New Roman"/>
          <w:b w:val="0"/>
          <w:sz w:val="24"/>
        </w:rPr>
        <w:t xml:space="preserve">This </w:t>
      </w:r>
      <w:r w:rsidR="00C903FC">
        <w:rPr>
          <w:rFonts w:ascii="Times New Roman" w:hAnsi="Times New Roman"/>
          <w:b w:val="0"/>
          <w:sz w:val="24"/>
        </w:rPr>
        <w:t xml:space="preserve">conclusion to hold bonds in retirement accounts and stocks in taxable accounts </w:t>
      </w:r>
      <w:r w:rsidR="005E7A7E">
        <w:rPr>
          <w:rFonts w:ascii="Times New Roman" w:hAnsi="Times New Roman"/>
          <w:b w:val="0"/>
          <w:sz w:val="24"/>
        </w:rPr>
        <w:t>will be called the traditional view.</w:t>
      </w:r>
    </w:p>
    <w:p w:rsidR="006C68C2" w:rsidRDefault="00721BE5" w:rsidP="0027184B">
      <w:pPr>
        <w:pStyle w:val="Title"/>
        <w:spacing w:line="480" w:lineRule="auto"/>
        <w:ind w:firstLine="720"/>
        <w:jc w:val="left"/>
        <w:rPr>
          <w:rFonts w:ascii="Times New Roman" w:hAnsi="Times New Roman"/>
          <w:b w:val="0"/>
          <w:sz w:val="24"/>
          <w:szCs w:val="24"/>
        </w:rPr>
      </w:pPr>
      <w:r>
        <w:rPr>
          <w:rFonts w:ascii="Times New Roman" w:hAnsi="Times New Roman"/>
          <w:b w:val="0"/>
          <w:sz w:val="24"/>
        </w:rPr>
        <w:t>An article put out by mutual fund giant Vanguard (2015) was consistent with this view. To summarize</w:t>
      </w:r>
      <w:r w:rsidR="00F44BA2">
        <w:rPr>
          <w:rFonts w:ascii="Times New Roman" w:hAnsi="Times New Roman"/>
          <w:b w:val="0"/>
          <w:sz w:val="24"/>
        </w:rPr>
        <w:t xml:space="preserve"> </w:t>
      </w:r>
      <w:r>
        <w:rPr>
          <w:rFonts w:ascii="Times New Roman" w:hAnsi="Times New Roman"/>
          <w:b w:val="0"/>
          <w:sz w:val="24"/>
        </w:rPr>
        <w:t>the article</w:t>
      </w:r>
      <w:r w:rsidR="00F44BA2">
        <w:rPr>
          <w:rFonts w:ascii="Times New Roman" w:hAnsi="Times New Roman"/>
          <w:b w:val="0"/>
          <w:sz w:val="24"/>
        </w:rPr>
        <w:t>,</w:t>
      </w:r>
      <w:r>
        <w:rPr>
          <w:rFonts w:ascii="Times New Roman" w:hAnsi="Times New Roman"/>
          <w:b w:val="0"/>
          <w:sz w:val="24"/>
        </w:rPr>
        <w:t xml:space="preserve"> m</w:t>
      </w:r>
      <w:r w:rsidRPr="00721BE5">
        <w:rPr>
          <w:rFonts w:ascii="Times New Roman" w:hAnsi="Times New Roman"/>
          <w:b w:val="0"/>
          <w:sz w:val="24"/>
          <w:szCs w:val="24"/>
        </w:rPr>
        <w:t xml:space="preserve">ore than 70% of </w:t>
      </w:r>
      <w:r w:rsidR="00F44BA2">
        <w:rPr>
          <w:rFonts w:ascii="Times New Roman" w:hAnsi="Times New Roman"/>
          <w:b w:val="0"/>
          <w:sz w:val="24"/>
          <w:szCs w:val="24"/>
        </w:rPr>
        <w:t xml:space="preserve">the approximately 1.1 million </w:t>
      </w:r>
      <w:r w:rsidRPr="00721BE5">
        <w:rPr>
          <w:rFonts w:ascii="Times New Roman" w:hAnsi="Times New Roman"/>
          <w:b w:val="0"/>
          <w:sz w:val="24"/>
          <w:szCs w:val="24"/>
        </w:rPr>
        <w:t>Vanguard investors with both IRAs and taxable accounts have located their investments tax</w:t>
      </w:r>
      <w:r w:rsidR="00243946">
        <w:rPr>
          <w:rFonts w:ascii="Times New Roman" w:hAnsi="Times New Roman"/>
          <w:b w:val="0"/>
          <w:sz w:val="24"/>
          <w:szCs w:val="24"/>
        </w:rPr>
        <w:t xml:space="preserve"> </w:t>
      </w:r>
      <w:r w:rsidRPr="00721BE5">
        <w:rPr>
          <w:rFonts w:ascii="Times New Roman" w:hAnsi="Times New Roman"/>
          <w:b w:val="0"/>
          <w:sz w:val="24"/>
          <w:szCs w:val="24"/>
        </w:rPr>
        <w:t>efficiently.</w:t>
      </w:r>
      <w:r w:rsidR="00C903FC">
        <w:rPr>
          <w:rFonts w:ascii="Times New Roman" w:hAnsi="Times New Roman"/>
          <w:b w:val="0"/>
          <w:sz w:val="24"/>
          <w:szCs w:val="24"/>
        </w:rPr>
        <w:t xml:space="preserve"> </w:t>
      </w:r>
      <w:r w:rsidR="008302A1">
        <w:rPr>
          <w:rFonts w:ascii="Times New Roman" w:hAnsi="Times New Roman"/>
          <w:b w:val="0"/>
          <w:sz w:val="24"/>
          <w:szCs w:val="24"/>
        </w:rPr>
        <w:t>The article states that “if you don’t own bonds…in taxable accounts</w:t>
      </w:r>
      <w:r w:rsidR="00751664">
        <w:rPr>
          <w:rFonts w:ascii="Times New Roman" w:hAnsi="Times New Roman"/>
          <w:b w:val="0"/>
          <w:sz w:val="24"/>
          <w:szCs w:val="24"/>
        </w:rPr>
        <w:t>,</w:t>
      </w:r>
      <w:r w:rsidR="008302A1">
        <w:rPr>
          <w:rFonts w:ascii="Times New Roman" w:hAnsi="Times New Roman"/>
          <w:b w:val="0"/>
          <w:sz w:val="24"/>
          <w:szCs w:val="24"/>
        </w:rPr>
        <w:t xml:space="preserve">” “your assets are well-located.” </w:t>
      </w:r>
      <w:r w:rsidR="00F44BA2">
        <w:rPr>
          <w:rFonts w:ascii="Times New Roman" w:hAnsi="Times New Roman"/>
          <w:b w:val="0"/>
          <w:sz w:val="24"/>
          <w:szCs w:val="24"/>
        </w:rPr>
        <w:t>I</w:t>
      </w:r>
      <w:r w:rsidR="00C903FC">
        <w:rPr>
          <w:rFonts w:ascii="Times New Roman" w:hAnsi="Times New Roman"/>
          <w:b w:val="0"/>
          <w:sz w:val="24"/>
          <w:szCs w:val="24"/>
        </w:rPr>
        <w:t>n contrast,</w:t>
      </w:r>
      <w:r w:rsidR="009500FF">
        <w:rPr>
          <w:rFonts w:ascii="Times New Roman" w:hAnsi="Times New Roman"/>
          <w:b w:val="0"/>
          <w:sz w:val="24"/>
          <w:szCs w:val="24"/>
        </w:rPr>
        <w:t xml:space="preserve"> </w:t>
      </w:r>
      <w:r w:rsidR="006C68C2">
        <w:rPr>
          <w:rFonts w:ascii="Times New Roman" w:hAnsi="Times New Roman"/>
          <w:b w:val="0"/>
          <w:sz w:val="24"/>
          <w:szCs w:val="24"/>
        </w:rPr>
        <w:t xml:space="preserve">29% </w:t>
      </w:r>
      <w:r w:rsidR="00F44BA2">
        <w:rPr>
          <w:rFonts w:ascii="Times New Roman" w:hAnsi="Times New Roman"/>
          <w:b w:val="0"/>
          <w:sz w:val="24"/>
          <w:szCs w:val="24"/>
        </w:rPr>
        <w:t>“</w:t>
      </w:r>
      <w:r w:rsidR="006C68C2">
        <w:rPr>
          <w:rFonts w:ascii="Times New Roman" w:hAnsi="Times New Roman"/>
          <w:b w:val="0"/>
          <w:sz w:val="24"/>
          <w:szCs w:val="24"/>
        </w:rPr>
        <w:t xml:space="preserve">have bonds and/or active[ly managed stock] mutual funds in taxable accounts, and index [stock mutual] funds and/or individual stocks in IRAs.” </w:t>
      </w:r>
      <w:r w:rsidR="009500FF">
        <w:rPr>
          <w:rFonts w:ascii="Times New Roman" w:hAnsi="Times New Roman"/>
          <w:b w:val="0"/>
          <w:sz w:val="24"/>
          <w:szCs w:val="24"/>
        </w:rPr>
        <w:t>The article stated</w:t>
      </w:r>
      <w:r w:rsidR="006B3088">
        <w:rPr>
          <w:rFonts w:ascii="Times New Roman" w:hAnsi="Times New Roman"/>
          <w:b w:val="0"/>
          <w:sz w:val="24"/>
          <w:szCs w:val="24"/>
        </w:rPr>
        <w:t xml:space="preserve"> that such</w:t>
      </w:r>
      <w:r w:rsidR="006B3088" w:rsidRPr="006B3088">
        <w:rPr>
          <w:rFonts w:ascii="Times New Roman" w:hAnsi="Times New Roman"/>
          <w:b w:val="0"/>
          <w:sz w:val="24"/>
          <w:szCs w:val="24"/>
        </w:rPr>
        <w:t xml:space="preserve"> investors</w:t>
      </w:r>
      <w:r w:rsidR="006B3088">
        <w:rPr>
          <w:rFonts w:ascii="Times New Roman" w:hAnsi="Times New Roman"/>
          <w:b w:val="0"/>
          <w:sz w:val="24"/>
          <w:szCs w:val="24"/>
        </w:rPr>
        <w:t xml:space="preserve"> “</w:t>
      </w:r>
      <w:r w:rsidR="006B3088" w:rsidRPr="006B3088">
        <w:rPr>
          <w:rFonts w:ascii="Times New Roman" w:hAnsi="Times New Roman"/>
          <w:b w:val="0"/>
          <w:sz w:val="24"/>
          <w:szCs w:val="24"/>
        </w:rPr>
        <w:t>have opportunities for better asset location</w:t>
      </w:r>
      <w:r w:rsidR="006B3088">
        <w:rPr>
          <w:rFonts w:ascii="Times New Roman" w:hAnsi="Times New Roman"/>
          <w:b w:val="0"/>
          <w:sz w:val="24"/>
          <w:szCs w:val="24"/>
        </w:rPr>
        <w:t xml:space="preserve"> [and]</w:t>
      </w:r>
      <w:r w:rsidR="006B3088" w:rsidRPr="006B3088">
        <w:rPr>
          <w:rFonts w:ascii="Times New Roman" w:hAnsi="Times New Roman"/>
          <w:b w:val="0"/>
          <w:sz w:val="24"/>
          <w:szCs w:val="24"/>
        </w:rPr>
        <w:t xml:space="preserve"> may be paying more in taxes than they need to</w:t>
      </w:r>
      <w:r w:rsidR="006B3088">
        <w:rPr>
          <w:rFonts w:ascii="Times New Roman" w:hAnsi="Times New Roman"/>
          <w:b w:val="0"/>
          <w:sz w:val="24"/>
          <w:szCs w:val="24"/>
        </w:rPr>
        <w:t>.”</w:t>
      </w:r>
      <w:r w:rsidR="009500FF">
        <w:rPr>
          <w:rFonts w:ascii="Times New Roman" w:hAnsi="Times New Roman"/>
          <w:b w:val="0"/>
          <w:sz w:val="24"/>
          <w:szCs w:val="24"/>
        </w:rPr>
        <w:t xml:space="preserve"> Th</w:t>
      </w:r>
      <w:r w:rsidR="006B3088">
        <w:rPr>
          <w:rFonts w:ascii="Times New Roman" w:hAnsi="Times New Roman"/>
          <w:b w:val="0"/>
          <w:sz w:val="24"/>
          <w:szCs w:val="24"/>
        </w:rPr>
        <w:t xml:space="preserve">e present </w:t>
      </w:r>
      <w:r w:rsidR="009500FF">
        <w:rPr>
          <w:rFonts w:ascii="Times New Roman" w:hAnsi="Times New Roman"/>
          <w:b w:val="0"/>
          <w:sz w:val="24"/>
          <w:szCs w:val="24"/>
        </w:rPr>
        <w:t xml:space="preserve">article </w:t>
      </w:r>
      <w:r w:rsidR="008302A1">
        <w:rPr>
          <w:rFonts w:ascii="Times New Roman" w:hAnsi="Times New Roman"/>
          <w:b w:val="0"/>
          <w:sz w:val="24"/>
          <w:szCs w:val="24"/>
        </w:rPr>
        <w:t xml:space="preserve">calls into question </w:t>
      </w:r>
      <w:r w:rsidR="009500FF">
        <w:rPr>
          <w:rFonts w:ascii="Times New Roman" w:hAnsi="Times New Roman"/>
          <w:b w:val="0"/>
          <w:sz w:val="24"/>
          <w:szCs w:val="24"/>
        </w:rPr>
        <w:t>Vanguard’s claim that it is not tax</w:t>
      </w:r>
      <w:r w:rsidR="00243946">
        <w:rPr>
          <w:rFonts w:ascii="Times New Roman" w:hAnsi="Times New Roman"/>
          <w:b w:val="0"/>
          <w:sz w:val="24"/>
          <w:szCs w:val="24"/>
        </w:rPr>
        <w:t xml:space="preserve"> </w:t>
      </w:r>
      <w:r w:rsidR="009500FF">
        <w:rPr>
          <w:rFonts w:ascii="Times New Roman" w:hAnsi="Times New Roman"/>
          <w:b w:val="0"/>
          <w:sz w:val="24"/>
          <w:szCs w:val="24"/>
        </w:rPr>
        <w:t>efficient to own bonds in taxable accounts while owning a mutual fund invested in a passive stock index inside an IRA.</w:t>
      </w:r>
    </w:p>
    <w:p w:rsidR="008302A1" w:rsidRDefault="00024B69" w:rsidP="00416FC1">
      <w:pPr>
        <w:spacing w:line="480" w:lineRule="auto"/>
        <w:ind w:firstLine="720"/>
      </w:pPr>
      <w:r w:rsidRPr="009500FF">
        <w:t>T</w:t>
      </w:r>
      <w:r w:rsidR="001E304F" w:rsidRPr="009500FF">
        <w:t xml:space="preserve">he </w:t>
      </w:r>
      <w:r w:rsidR="001A2D59" w:rsidRPr="009500FF">
        <w:t xml:space="preserve">conclusions </w:t>
      </w:r>
      <w:r w:rsidR="00C903FC">
        <w:t xml:space="preserve">from </w:t>
      </w:r>
      <w:r w:rsidR="001A2D59" w:rsidRPr="009500FF">
        <w:t xml:space="preserve">other articles are </w:t>
      </w:r>
      <w:r w:rsidR="003172F0" w:rsidRPr="009500FF">
        <w:t xml:space="preserve">not </w:t>
      </w:r>
      <w:r w:rsidR="00535D72" w:rsidRPr="009500FF">
        <w:t xml:space="preserve">expressed with such </w:t>
      </w:r>
      <w:r w:rsidR="003172F0" w:rsidRPr="009500FF">
        <w:t>certain</w:t>
      </w:r>
      <w:r w:rsidR="00535D72" w:rsidRPr="009500FF">
        <w:t>ty</w:t>
      </w:r>
      <w:r w:rsidR="001A2D59" w:rsidRPr="009500FF">
        <w:t xml:space="preserve">. </w:t>
      </w:r>
      <w:r w:rsidR="00C903FC">
        <w:t>For instance, t</w:t>
      </w:r>
      <w:r w:rsidR="001A2D59" w:rsidRPr="009500FF">
        <w:t>he analysis in Anderson and Murphy</w:t>
      </w:r>
      <w:r w:rsidR="003172F0" w:rsidRPr="009500FF">
        <w:t xml:space="preserve"> </w:t>
      </w:r>
      <w:r w:rsidR="00535D72" w:rsidRPr="009500FF">
        <w:t xml:space="preserve">(2014) </w:t>
      </w:r>
      <w:r w:rsidR="003172F0" w:rsidRPr="009500FF">
        <w:t xml:space="preserve">is </w:t>
      </w:r>
      <w:r w:rsidR="001E304F" w:rsidRPr="009500FF">
        <w:t xml:space="preserve">broadly consistent with the tax-efficient asset </w:t>
      </w:r>
      <w:r w:rsidR="001E304F" w:rsidRPr="009500FF">
        <w:lastRenderedPageBreak/>
        <w:t xml:space="preserve">location being </w:t>
      </w:r>
      <w:r w:rsidR="008302A1">
        <w:t>non</w:t>
      </w:r>
      <w:r w:rsidR="00751664">
        <w:t>-</w:t>
      </w:r>
      <w:r w:rsidR="008302A1">
        <w:t xml:space="preserve">dividend-paying </w:t>
      </w:r>
      <w:r w:rsidR="001E304F" w:rsidRPr="009500FF">
        <w:t>stocks in retirement accounts and bonds in taxable accounts</w:t>
      </w:r>
      <w:r w:rsidR="001201B8">
        <w:t>,</w:t>
      </w:r>
      <w:r w:rsidR="001E304F" w:rsidRPr="009500FF">
        <w:t xml:space="preserve"> </w:t>
      </w:r>
      <w:r w:rsidR="00AE0957" w:rsidRPr="009500FF">
        <w:t xml:space="preserve">given </w:t>
      </w:r>
      <w:r w:rsidR="00F953ED" w:rsidRPr="009500FF">
        <w:t>a 12</w:t>
      </w:r>
      <w:r w:rsidR="00F135BD">
        <w:t>-</w:t>
      </w:r>
      <w:r w:rsidR="00F953ED" w:rsidRPr="009500FF">
        <w:t xml:space="preserve">year investment horizon and </w:t>
      </w:r>
      <w:r w:rsidR="00AE0957" w:rsidRPr="009500FF">
        <w:t>the following</w:t>
      </w:r>
      <w:r w:rsidR="00F953ED" w:rsidRPr="009500FF">
        <w:t xml:space="preserve"> expected returns and tax rates</w:t>
      </w:r>
      <w:r w:rsidR="00AE0957" w:rsidRPr="009500FF">
        <w:t xml:space="preserve">: </w:t>
      </w:r>
    </w:p>
    <w:p w:rsidR="00D92DC2" w:rsidRDefault="001E304F" w:rsidP="0032114B">
      <w:pPr>
        <w:pStyle w:val="ListParagraph"/>
        <w:numPr>
          <w:ilvl w:val="0"/>
          <w:numId w:val="2"/>
        </w:numPr>
        <w:spacing w:line="480" w:lineRule="auto"/>
      </w:pPr>
      <w:r w:rsidRPr="009500FF">
        <w:t xml:space="preserve">the expected return on </w:t>
      </w:r>
      <w:r w:rsidR="008302A1">
        <w:t xml:space="preserve">such </w:t>
      </w:r>
      <w:r w:rsidRPr="009500FF">
        <w:t>st</w:t>
      </w:r>
      <w:r w:rsidR="00535D72" w:rsidRPr="009500FF">
        <w:t xml:space="preserve">ocks is </w:t>
      </w:r>
      <w:r w:rsidR="00AE0957" w:rsidRPr="009500FF">
        <w:t xml:space="preserve">approximately </w:t>
      </w:r>
      <w:r w:rsidR="00F953ED" w:rsidRPr="0032114B">
        <w:rPr>
          <w:i/>
        </w:rPr>
        <w:t>double</w:t>
      </w:r>
      <w:r w:rsidR="00AE0957" w:rsidRPr="009500FF">
        <w:t xml:space="preserve"> </w:t>
      </w:r>
      <w:r w:rsidR="00266234">
        <w:t xml:space="preserve">(or more) </w:t>
      </w:r>
      <w:r w:rsidRPr="009500FF">
        <w:t>the expected return on bonds</w:t>
      </w:r>
      <w:r w:rsidR="00AE0957" w:rsidRPr="009500FF">
        <w:t xml:space="preserve"> when </w:t>
      </w:r>
      <w:r w:rsidR="00024B69" w:rsidRPr="009500FF">
        <w:t>the ordinary tax rate (</w:t>
      </w:r>
      <w:r w:rsidR="00AE0957" w:rsidRPr="008F3F14">
        <w:t>t</w:t>
      </w:r>
      <w:r w:rsidR="00024B69" w:rsidRPr="009500FF">
        <w:t>)</w:t>
      </w:r>
      <w:r w:rsidR="00AE0957" w:rsidRPr="009500FF">
        <w:t xml:space="preserve"> = 33%</w:t>
      </w:r>
      <w:r w:rsidR="00BF3313" w:rsidRPr="009500FF">
        <w:t xml:space="preserve"> and </w:t>
      </w:r>
      <w:r w:rsidR="00024B69" w:rsidRPr="009500FF">
        <w:t>long-term capital gains tax rate (</w:t>
      </w:r>
      <w:r w:rsidR="00BF3313" w:rsidRPr="008F3F14">
        <w:t>g</w:t>
      </w:r>
      <w:r w:rsidR="00024B69" w:rsidRPr="009500FF">
        <w:t>)</w:t>
      </w:r>
      <w:r w:rsidR="00BF3313" w:rsidRPr="009500FF">
        <w:t xml:space="preserve"> = 15%</w:t>
      </w:r>
      <w:r w:rsidR="00AE0957" w:rsidRPr="009500FF">
        <w:t xml:space="preserve">; </w:t>
      </w:r>
    </w:p>
    <w:p w:rsidR="00D92DC2" w:rsidRDefault="00AE0957" w:rsidP="0032114B">
      <w:pPr>
        <w:pStyle w:val="ListParagraph"/>
        <w:numPr>
          <w:ilvl w:val="0"/>
          <w:numId w:val="2"/>
        </w:numPr>
        <w:spacing w:line="480" w:lineRule="auto"/>
      </w:pPr>
      <w:r w:rsidRPr="009500FF">
        <w:t xml:space="preserve">the expected return on </w:t>
      </w:r>
      <w:r w:rsidR="008302A1">
        <w:t xml:space="preserve">such </w:t>
      </w:r>
      <w:r w:rsidRPr="009500FF">
        <w:t xml:space="preserve">stocks is </w:t>
      </w:r>
      <w:r w:rsidR="00BF3313" w:rsidRPr="009500FF">
        <w:t>approximately</w:t>
      </w:r>
      <w:r w:rsidRPr="009500FF">
        <w:t xml:space="preserve"> </w:t>
      </w:r>
      <w:r w:rsidR="00F953ED" w:rsidRPr="0032114B">
        <w:rPr>
          <w:i/>
        </w:rPr>
        <w:t>80%</w:t>
      </w:r>
      <w:r w:rsidRPr="0032114B">
        <w:rPr>
          <w:i/>
        </w:rPr>
        <w:t xml:space="preserve"> higher</w:t>
      </w:r>
      <w:r w:rsidRPr="009500FF">
        <w:t xml:space="preserve"> </w:t>
      </w:r>
      <w:r w:rsidR="00266234">
        <w:t xml:space="preserve">(or more) </w:t>
      </w:r>
      <w:r w:rsidRPr="009500FF">
        <w:t xml:space="preserve">than the expected return on bonds when </w:t>
      </w:r>
      <w:r w:rsidRPr="008F3F14">
        <w:t>t</w:t>
      </w:r>
      <w:r w:rsidRPr="009500FF">
        <w:t xml:space="preserve"> = 28%</w:t>
      </w:r>
      <w:r w:rsidR="00BF3313" w:rsidRPr="009500FF">
        <w:t xml:space="preserve"> and </w:t>
      </w:r>
      <w:r w:rsidR="00BF3313" w:rsidRPr="008F3F14">
        <w:t>g</w:t>
      </w:r>
      <w:r w:rsidR="00BF3313" w:rsidRPr="009500FF">
        <w:t xml:space="preserve"> = 15%</w:t>
      </w:r>
      <w:r w:rsidRPr="009500FF">
        <w:t xml:space="preserve">; </w:t>
      </w:r>
    </w:p>
    <w:p w:rsidR="00D92DC2" w:rsidRDefault="00AE0957" w:rsidP="0032114B">
      <w:pPr>
        <w:pStyle w:val="ListParagraph"/>
        <w:numPr>
          <w:ilvl w:val="0"/>
          <w:numId w:val="2"/>
        </w:numPr>
        <w:spacing w:line="480" w:lineRule="auto"/>
      </w:pPr>
      <w:proofErr w:type="gramStart"/>
      <w:r w:rsidRPr="009500FF">
        <w:t>the</w:t>
      </w:r>
      <w:proofErr w:type="gramEnd"/>
      <w:r w:rsidRPr="009500FF">
        <w:t xml:space="preserve"> expected return on </w:t>
      </w:r>
      <w:r w:rsidR="008302A1">
        <w:t xml:space="preserve">such </w:t>
      </w:r>
      <w:r w:rsidRPr="009500FF">
        <w:t xml:space="preserve">stocks is </w:t>
      </w:r>
      <w:r w:rsidR="00BF3313" w:rsidRPr="009500FF">
        <w:t xml:space="preserve">approximately </w:t>
      </w:r>
      <w:r w:rsidR="00F135BD" w:rsidRPr="0032114B">
        <w:rPr>
          <w:i/>
        </w:rPr>
        <w:t xml:space="preserve">two-thirds </w:t>
      </w:r>
      <w:r w:rsidRPr="0032114B">
        <w:rPr>
          <w:i/>
        </w:rPr>
        <w:t>higher</w:t>
      </w:r>
      <w:r w:rsidRPr="009500FF">
        <w:t xml:space="preserve"> </w:t>
      </w:r>
      <w:r w:rsidR="00266234">
        <w:t xml:space="preserve">(or more) </w:t>
      </w:r>
      <w:r w:rsidRPr="009500FF">
        <w:t xml:space="preserve">than the expected return on bonds when </w:t>
      </w:r>
      <w:r w:rsidRPr="008F3F14">
        <w:t>t</w:t>
      </w:r>
      <w:r w:rsidRPr="009500FF">
        <w:t xml:space="preserve"> = 25%</w:t>
      </w:r>
      <w:r w:rsidR="00BF3313" w:rsidRPr="009500FF">
        <w:t xml:space="preserve"> and </w:t>
      </w:r>
      <w:r w:rsidR="00BF3313" w:rsidRPr="008F3F14">
        <w:t>g</w:t>
      </w:r>
      <w:r w:rsidR="00BF3313" w:rsidRPr="009500FF">
        <w:t xml:space="preserve"> = 15%</w:t>
      </w:r>
      <w:r w:rsidR="003172F0" w:rsidRPr="009500FF">
        <w:t xml:space="preserve">. </w:t>
      </w:r>
    </w:p>
    <w:p w:rsidR="00D92DC2" w:rsidRDefault="00FC3922" w:rsidP="0032114B">
      <w:pPr>
        <w:spacing w:line="480" w:lineRule="auto"/>
        <w:ind w:left="720"/>
      </w:pPr>
      <w:r w:rsidRPr="009500FF">
        <w:t xml:space="preserve">Shynkevich (2010) does a historical analysis of stock and bond returns and finds that in </w:t>
      </w:r>
    </w:p>
    <w:p w:rsidR="00C903FC" w:rsidRDefault="00FC3922" w:rsidP="0032114B">
      <w:pPr>
        <w:spacing w:line="480" w:lineRule="auto"/>
      </w:pPr>
      <w:proofErr w:type="gramStart"/>
      <w:r w:rsidRPr="009500FF">
        <w:t>the</w:t>
      </w:r>
      <w:proofErr w:type="gramEnd"/>
      <w:r w:rsidRPr="009500FF">
        <w:t xml:space="preserve"> middle part of </w:t>
      </w:r>
      <w:r w:rsidR="00B84533">
        <w:t xml:space="preserve">the </w:t>
      </w:r>
      <w:r w:rsidRPr="009500FF">
        <w:t>last century, times characterized by low inflation, low bond returns, and dividend yields exceeding the returns on 10</w:t>
      </w:r>
      <w:r w:rsidR="00001110">
        <w:t>-</w:t>
      </w:r>
      <w:r w:rsidRPr="009500FF">
        <w:t xml:space="preserve">year </w:t>
      </w:r>
      <w:r w:rsidR="00001110">
        <w:t>T</w:t>
      </w:r>
      <w:r w:rsidRPr="009500FF">
        <w:t xml:space="preserve">reasury bonds, tax sheltering </w:t>
      </w:r>
      <w:r w:rsidR="005E7A7E" w:rsidRPr="009500FF">
        <w:t xml:space="preserve">(i.e., placing inside retirement accounts) </w:t>
      </w:r>
      <w:r w:rsidRPr="009500FF">
        <w:t xml:space="preserve">stocks outperformed tax sheltering bonds. </w:t>
      </w:r>
      <w:r w:rsidR="00750703" w:rsidRPr="009500FF">
        <w:t>One of the conclusions by Daryan</w:t>
      </w:r>
      <w:r w:rsidR="007C4ABF" w:rsidRPr="009500FF">
        <w:t>an</w:t>
      </w:r>
      <w:r w:rsidR="00750703" w:rsidRPr="009500FF">
        <w:t>i and Cordaro (2005) is that “low-return [investments] can be placed in either [an IRA or a taxable] account, since the difference in end-wealth will be small.”</w:t>
      </w:r>
      <w:r w:rsidR="00535D72" w:rsidRPr="009500FF">
        <w:t xml:space="preserve"> </w:t>
      </w:r>
    </w:p>
    <w:p w:rsidR="003A467C" w:rsidRPr="009500FF" w:rsidRDefault="006172DD" w:rsidP="00416FC1">
      <w:pPr>
        <w:spacing w:line="480" w:lineRule="auto"/>
        <w:ind w:firstLine="720"/>
      </w:pPr>
      <w:r w:rsidRPr="009500FF">
        <w:t>T</w:t>
      </w:r>
      <w:r w:rsidR="001A2D59" w:rsidRPr="009500FF">
        <w:t xml:space="preserve">he current economic environment </w:t>
      </w:r>
      <w:r w:rsidR="00C903FC">
        <w:t>(</w:t>
      </w:r>
      <w:r w:rsidR="00BB0D99">
        <w:t>early in 2017</w:t>
      </w:r>
      <w:r w:rsidR="00C903FC">
        <w:t>)</w:t>
      </w:r>
      <w:r w:rsidR="00535D72" w:rsidRPr="009500FF">
        <w:t xml:space="preserve"> is</w:t>
      </w:r>
      <w:r w:rsidR="001A2D59" w:rsidRPr="009500FF">
        <w:t xml:space="preserve"> </w:t>
      </w:r>
      <w:r w:rsidR="001201B8">
        <w:t xml:space="preserve">an expectation of </w:t>
      </w:r>
      <w:r w:rsidR="001A2D59" w:rsidRPr="009500FF">
        <w:t xml:space="preserve">low </w:t>
      </w:r>
      <w:r w:rsidR="001201B8">
        <w:t xml:space="preserve">(but increasing) </w:t>
      </w:r>
      <w:r w:rsidR="001A2D59" w:rsidRPr="009500FF">
        <w:t>expected inflation, low expected bond returns, and</w:t>
      </w:r>
      <w:r w:rsidRPr="009500FF">
        <w:t xml:space="preserve">, </w:t>
      </w:r>
      <w:r w:rsidR="001A5A3D" w:rsidRPr="009500FF">
        <w:t xml:space="preserve">given the historical annual return on stocks, </w:t>
      </w:r>
      <w:r w:rsidR="001A2D59" w:rsidRPr="009500FF">
        <w:t xml:space="preserve">expected stock returns </w:t>
      </w:r>
      <w:r w:rsidRPr="009500FF">
        <w:t xml:space="preserve">of </w:t>
      </w:r>
      <w:r w:rsidR="001A2D59" w:rsidRPr="009500FF">
        <w:t xml:space="preserve">double </w:t>
      </w:r>
      <w:r w:rsidRPr="009500FF">
        <w:t xml:space="preserve">or more that of </w:t>
      </w:r>
      <w:r w:rsidR="001A2D59" w:rsidRPr="009500FF">
        <w:t>bond returns</w:t>
      </w:r>
      <w:r w:rsidR="00535D72" w:rsidRPr="009500FF">
        <w:t>.</w:t>
      </w:r>
      <w:r w:rsidR="00550249">
        <w:rPr>
          <w:rStyle w:val="EndnoteReference"/>
        </w:rPr>
        <w:endnoteReference w:id="3"/>
      </w:r>
      <w:r w:rsidR="001A2D59" w:rsidRPr="009500FF">
        <w:t xml:space="preserve"> </w:t>
      </w:r>
      <w:r w:rsidR="00D73693" w:rsidRPr="009500FF">
        <w:t>If th</w:t>
      </w:r>
      <w:r w:rsidR="001A5A3D" w:rsidRPr="009500FF">
        <w:t xml:space="preserve">e bond returns turn out to be low and the return on stocks </w:t>
      </w:r>
      <w:r w:rsidR="00D73693" w:rsidRPr="009500FF">
        <w:t xml:space="preserve">turns out to be </w:t>
      </w:r>
      <w:r w:rsidR="00A80E0E">
        <w:t>near</w:t>
      </w:r>
      <w:r w:rsidR="001A5A3D" w:rsidRPr="009500FF">
        <w:t xml:space="preserve"> historical averages, </w:t>
      </w:r>
      <w:r w:rsidR="008F3F14">
        <w:t xml:space="preserve">then </w:t>
      </w:r>
      <w:r w:rsidR="00D73693" w:rsidRPr="009500FF">
        <w:t>s</w:t>
      </w:r>
      <w:r w:rsidR="001A2D59" w:rsidRPr="009500FF">
        <w:t>tock inside retirement accounts and bonds in taxable accounts is the wealth</w:t>
      </w:r>
      <w:r w:rsidR="0037497B">
        <w:t>-</w:t>
      </w:r>
      <w:r w:rsidR="001A2D59" w:rsidRPr="009500FF">
        <w:t>maximizing strategy</w:t>
      </w:r>
      <w:r w:rsidR="001A5A3D" w:rsidRPr="009500FF">
        <w:t>.</w:t>
      </w:r>
      <w:r w:rsidR="00535D72" w:rsidRPr="009500FF">
        <w:t xml:space="preserve"> </w:t>
      </w:r>
      <w:r w:rsidR="001A5A3D" w:rsidRPr="009500FF">
        <w:t xml:space="preserve">This is </w:t>
      </w:r>
      <w:r w:rsidR="00535D72" w:rsidRPr="009500FF">
        <w:t xml:space="preserve">in contrast to the </w:t>
      </w:r>
      <w:r w:rsidR="005E7A7E" w:rsidRPr="009500FF">
        <w:t>traditional view</w:t>
      </w:r>
      <w:r w:rsidR="00C903FC">
        <w:t>.</w:t>
      </w:r>
    </w:p>
    <w:p w:rsidR="008918F7" w:rsidRDefault="00634961" w:rsidP="00416FC1">
      <w:pPr>
        <w:pStyle w:val="Title"/>
        <w:spacing w:line="480" w:lineRule="auto"/>
        <w:ind w:firstLine="720"/>
        <w:jc w:val="left"/>
        <w:rPr>
          <w:rFonts w:ascii="Times New Roman" w:hAnsi="Times New Roman"/>
          <w:b w:val="0"/>
          <w:sz w:val="24"/>
        </w:rPr>
        <w:sectPr w:rsidR="008918F7" w:rsidSect="0027184B">
          <w:footerReference w:type="default" r:id="rId10"/>
          <w:endnotePr>
            <w:numFmt w:val="decimal"/>
          </w:endnotePr>
          <w:pgSz w:w="12240" w:h="15840"/>
          <w:pgMar w:top="1440" w:right="1440" w:bottom="1440" w:left="1440" w:header="720" w:footer="720" w:gutter="0"/>
          <w:pgNumType w:start="1"/>
          <w:cols w:space="720"/>
          <w:docGrid w:linePitch="360"/>
        </w:sectPr>
      </w:pPr>
      <w:r>
        <w:rPr>
          <w:rFonts w:ascii="Times New Roman" w:hAnsi="Times New Roman"/>
          <w:b w:val="0"/>
          <w:sz w:val="24"/>
        </w:rPr>
        <w:t xml:space="preserve">This article focuses on providing </w:t>
      </w:r>
      <w:r w:rsidR="005D078F">
        <w:rPr>
          <w:rFonts w:ascii="Times New Roman" w:hAnsi="Times New Roman"/>
          <w:b w:val="0"/>
          <w:sz w:val="24"/>
        </w:rPr>
        <w:t xml:space="preserve">break-even lines for </w:t>
      </w:r>
      <w:r w:rsidR="001A2D59">
        <w:rPr>
          <w:rFonts w:ascii="Times New Roman" w:hAnsi="Times New Roman"/>
          <w:b w:val="0"/>
          <w:sz w:val="24"/>
        </w:rPr>
        <w:t xml:space="preserve">financial planning </w:t>
      </w:r>
      <w:r>
        <w:rPr>
          <w:rFonts w:ascii="Times New Roman" w:hAnsi="Times New Roman"/>
          <w:b w:val="0"/>
          <w:sz w:val="24"/>
        </w:rPr>
        <w:t xml:space="preserve">practitioners to decide whether </w:t>
      </w:r>
      <w:r w:rsidR="001A2D59">
        <w:rPr>
          <w:rFonts w:ascii="Times New Roman" w:hAnsi="Times New Roman"/>
          <w:b w:val="0"/>
          <w:sz w:val="24"/>
        </w:rPr>
        <w:t>it is tax</w:t>
      </w:r>
      <w:r w:rsidR="00243946">
        <w:rPr>
          <w:rFonts w:ascii="Times New Roman" w:hAnsi="Times New Roman"/>
          <w:b w:val="0"/>
          <w:sz w:val="24"/>
        </w:rPr>
        <w:t xml:space="preserve"> </w:t>
      </w:r>
      <w:r w:rsidR="001A2D59">
        <w:rPr>
          <w:rFonts w:ascii="Times New Roman" w:hAnsi="Times New Roman"/>
          <w:b w:val="0"/>
          <w:sz w:val="24"/>
        </w:rPr>
        <w:t xml:space="preserve">efficient (i.e., wealth maximizing) to </w:t>
      </w:r>
      <w:r w:rsidR="005D078F">
        <w:rPr>
          <w:rFonts w:ascii="Times New Roman" w:hAnsi="Times New Roman"/>
          <w:b w:val="0"/>
          <w:sz w:val="24"/>
        </w:rPr>
        <w:t xml:space="preserve">place </w:t>
      </w:r>
      <w:r>
        <w:rPr>
          <w:rFonts w:ascii="Times New Roman" w:hAnsi="Times New Roman"/>
          <w:b w:val="0"/>
          <w:sz w:val="24"/>
        </w:rPr>
        <w:t xml:space="preserve">stocks or bonds inside </w:t>
      </w:r>
      <w:r>
        <w:rPr>
          <w:rFonts w:ascii="Times New Roman" w:hAnsi="Times New Roman"/>
          <w:b w:val="0"/>
          <w:sz w:val="24"/>
        </w:rPr>
        <w:lastRenderedPageBreak/>
        <w:t xml:space="preserve">retirement accounts while </w:t>
      </w:r>
      <w:r w:rsidR="005D078F">
        <w:rPr>
          <w:rFonts w:ascii="Times New Roman" w:hAnsi="Times New Roman"/>
          <w:b w:val="0"/>
          <w:sz w:val="24"/>
        </w:rPr>
        <w:t xml:space="preserve">placing </w:t>
      </w:r>
      <w:r>
        <w:rPr>
          <w:rFonts w:ascii="Times New Roman" w:hAnsi="Times New Roman"/>
          <w:b w:val="0"/>
          <w:sz w:val="24"/>
        </w:rPr>
        <w:t xml:space="preserve">the other </w:t>
      </w:r>
      <w:r w:rsidR="003A467C">
        <w:rPr>
          <w:rFonts w:ascii="Times New Roman" w:hAnsi="Times New Roman"/>
          <w:b w:val="0"/>
          <w:sz w:val="24"/>
        </w:rPr>
        <w:t>in taxable accounts.</w:t>
      </w:r>
      <w:r w:rsidR="00D63F9B">
        <w:rPr>
          <w:rStyle w:val="EndnoteReference"/>
          <w:rFonts w:ascii="Times New Roman" w:hAnsi="Times New Roman"/>
          <w:b w:val="0"/>
          <w:sz w:val="24"/>
        </w:rPr>
        <w:endnoteReference w:id="4"/>
      </w:r>
      <w:r>
        <w:rPr>
          <w:rFonts w:ascii="Times New Roman" w:hAnsi="Times New Roman"/>
          <w:b w:val="0"/>
          <w:sz w:val="24"/>
        </w:rPr>
        <w:t xml:space="preserve"> </w:t>
      </w:r>
      <w:r w:rsidR="00535E35">
        <w:rPr>
          <w:rFonts w:ascii="Times New Roman" w:hAnsi="Times New Roman"/>
          <w:b w:val="0"/>
          <w:sz w:val="24"/>
        </w:rPr>
        <w:t xml:space="preserve">Figure 1 </w:t>
      </w:r>
      <w:proofErr w:type="gramStart"/>
      <w:r w:rsidR="00535E35">
        <w:rPr>
          <w:rFonts w:ascii="Times New Roman" w:hAnsi="Times New Roman"/>
          <w:b w:val="0"/>
          <w:sz w:val="24"/>
        </w:rPr>
        <w:t>shows</w:t>
      </w:r>
      <w:proofErr w:type="gramEnd"/>
      <w:r w:rsidR="00535E35">
        <w:rPr>
          <w:rFonts w:ascii="Times New Roman" w:hAnsi="Times New Roman"/>
          <w:b w:val="0"/>
          <w:sz w:val="24"/>
        </w:rPr>
        <w:t xml:space="preserve"> the</w:t>
      </w:r>
      <w:r w:rsidR="00676BFB">
        <w:rPr>
          <w:rFonts w:ascii="Times New Roman" w:hAnsi="Times New Roman"/>
          <w:b w:val="0"/>
          <w:sz w:val="24"/>
        </w:rPr>
        <w:t xml:space="preserve"> formulas used in this paper</w:t>
      </w:r>
      <w:r w:rsidR="00B63479">
        <w:rPr>
          <w:rFonts w:ascii="Times New Roman" w:hAnsi="Times New Roman"/>
          <w:b w:val="0"/>
          <w:sz w:val="24"/>
        </w:rPr>
        <w:t>.</w:t>
      </w:r>
      <w:r w:rsidR="00676BFB">
        <w:rPr>
          <w:rFonts w:ascii="Times New Roman" w:hAnsi="Times New Roman"/>
          <w:b w:val="0"/>
          <w:sz w:val="24"/>
        </w:rPr>
        <w:t xml:space="preserve"> </w:t>
      </w:r>
      <w:r w:rsidR="00B63479">
        <w:rPr>
          <w:rFonts w:ascii="Times New Roman" w:hAnsi="Times New Roman"/>
          <w:b w:val="0"/>
          <w:sz w:val="24"/>
        </w:rPr>
        <w:t>T</w:t>
      </w:r>
      <w:r w:rsidR="00676BFB">
        <w:rPr>
          <w:rFonts w:ascii="Times New Roman" w:hAnsi="Times New Roman"/>
          <w:b w:val="0"/>
          <w:sz w:val="24"/>
        </w:rPr>
        <w:t>hey all assume that any after-tax earnings are reinvested in the same investment</w:t>
      </w:r>
      <w:r w:rsidR="00B63479">
        <w:rPr>
          <w:rFonts w:ascii="Times New Roman" w:hAnsi="Times New Roman"/>
          <w:b w:val="0"/>
          <w:sz w:val="24"/>
        </w:rPr>
        <w:t>.</w:t>
      </w:r>
    </w:p>
    <w:p w:rsidR="00634961" w:rsidRDefault="00634961" w:rsidP="00416FC1">
      <w:pPr>
        <w:pStyle w:val="Title"/>
        <w:spacing w:line="480" w:lineRule="auto"/>
        <w:ind w:firstLine="720"/>
        <w:jc w:val="left"/>
        <w:rPr>
          <w:rFonts w:ascii="Times New Roman" w:hAnsi="Times New Roman"/>
          <w:b w:val="0"/>
          <w:sz w:val="24"/>
        </w:rPr>
      </w:pPr>
    </w:p>
    <w:p w:rsidR="00054D4D" w:rsidRDefault="00054D4D" w:rsidP="00535D72">
      <w:pPr>
        <w:pStyle w:val="Title"/>
        <w:spacing w:line="276" w:lineRule="auto"/>
        <w:jc w:val="left"/>
        <w:rPr>
          <w:rFonts w:ascii="Times New Roman" w:hAnsi="Times New Roman"/>
          <w:b w:val="0"/>
          <w:sz w:val="24"/>
        </w:rPr>
      </w:pPr>
    </w:p>
    <w:p w:rsidR="00B131A5" w:rsidRDefault="00BE2D04" w:rsidP="00BB0D99">
      <w:pPr>
        <w:spacing w:line="276" w:lineRule="auto"/>
        <w:jc w:val="center"/>
        <w:rPr>
          <w:b/>
        </w:rPr>
      </w:pPr>
      <w:r>
        <w:rPr>
          <w:b/>
        </w:rPr>
        <w:t xml:space="preserve">Figure </w:t>
      </w:r>
      <w:r w:rsidR="00F66F89">
        <w:rPr>
          <w:b/>
        </w:rPr>
        <w:t xml:space="preserve">1: </w:t>
      </w:r>
      <w:r w:rsidR="00B131A5" w:rsidRPr="00F66F89">
        <w:rPr>
          <w:b/>
        </w:rPr>
        <w:t>R</w:t>
      </w:r>
      <w:r w:rsidR="00456418" w:rsidRPr="00F66F89">
        <w:rPr>
          <w:b/>
        </w:rPr>
        <w:t xml:space="preserve">elevant </w:t>
      </w:r>
      <w:r w:rsidR="00F66F89">
        <w:rPr>
          <w:b/>
        </w:rPr>
        <w:t>F</w:t>
      </w:r>
      <w:r w:rsidR="00456418" w:rsidRPr="00F66F89">
        <w:rPr>
          <w:b/>
        </w:rPr>
        <w:t>ormulas</w:t>
      </w:r>
      <w:r w:rsidR="005A4AA1">
        <w:rPr>
          <w:rStyle w:val="EndnoteReference"/>
          <w:b/>
        </w:rPr>
        <w:endnoteReference w:id="5"/>
      </w:r>
    </w:p>
    <w:p w:rsidR="00F8781C" w:rsidRDefault="00F8781C" w:rsidP="00BB0D99">
      <w:pPr>
        <w:spacing w:line="276" w:lineRule="auto"/>
        <w:jc w:val="cente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736"/>
        <w:gridCol w:w="1606"/>
        <w:gridCol w:w="183"/>
        <w:gridCol w:w="993"/>
        <w:gridCol w:w="450"/>
        <w:gridCol w:w="990"/>
        <w:gridCol w:w="1481"/>
        <w:gridCol w:w="931"/>
        <w:gridCol w:w="2448"/>
      </w:tblGrid>
      <w:tr w:rsidR="008918F7" w:rsidTr="0032114B">
        <w:tc>
          <w:tcPr>
            <w:tcW w:w="5592" w:type="dxa"/>
            <w:gridSpan w:val="3"/>
            <w:tcBorders>
              <w:top w:val="single" w:sz="12" w:space="0" w:color="auto"/>
              <w:left w:val="nil"/>
              <w:bottom w:val="single" w:sz="12" w:space="0" w:color="auto"/>
              <w:right w:val="nil"/>
            </w:tcBorders>
          </w:tcPr>
          <w:p w:rsidR="00B131A5" w:rsidRDefault="00B131A5" w:rsidP="00535D72">
            <w:pPr>
              <w:tabs>
                <w:tab w:val="left" w:pos="2070"/>
              </w:tabs>
              <w:spacing w:line="276" w:lineRule="auto"/>
              <w:rPr>
                <w:b/>
                <w:bCs/>
              </w:rPr>
            </w:pPr>
            <w:r>
              <w:rPr>
                <w:b/>
                <w:bCs/>
              </w:rPr>
              <w:t>Investment Model</w:t>
            </w:r>
            <w:r w:rsidR="00F66F89">
              <w:rPr>
                <w:b/>
                <w:bCs/>
              </w:rPr>
              <w:t xml:space="preserve"> </w:t>
            </w:r>
            <w:r>
              <w:rPr>
                <w:b/>
                <w:bCs/>
              </w:rPr>
              <w:t xml:space="preserve">/ </w:t>
            </w:r>
            <w:r w:rsidRPr="00F66F89">
              <w:rPr>
                <w:b/>
                <w:bCs/>
              </w:rPr>
              <w:t>Examples</w:t>
            </w:r>
          </w:p>
        </w:tc>
        <w:tc>
          <w:tcPr>
            <w:tcW w:w="1176" w:type="dxa"/>
            <w:gridSpan w:val="2"/>
            <w:tcBorders>
              <w:top w:val="single" w:sz="12" w:space="0" w:color="auto"/>
              <w:left w:val="nil"/>
              <w:bottom w:val="single" w:sz="12" w:space="0" w:color="auto"/>
              <w:right w:val="nil"/>
            </w:tcBorders>
          </w:tcPr>
          <w:p w:rsidR="00B131A5" w:rsidRDefault="00B131A5" w:rsidP="00535D72">
            <w:pPr>
              <w:tabs>
                <w:tab w:val="left" w:pos="2070"/>
              </w:tabs>
              <w:spacing w:line="276" w:lineRule="auto"/>
              <w:jc w:val="center"/>
              <w:rPr>
                <w:b/>
                <w:bCs/>
              </w:rPr>
            </w:pPr>
            <w:r>
              <w:rPr>
                <w:b/>
                <w:bCs/>
              </w:rPr>
              <w:t>Rate of</w:t>
            </w:r>
          </w:p>
          <w:p w:rsidR="00B131A5" w:rsidRDefault="00B131A5" w:rsidP="00535D72">
            <w:pPr>
              <w:tabs>
                <w:tab w:val="left" w:pos="2070"/>
              </w:tabs>
              <w:spacing w:line="276" w:lineRule="auto"/>
              <w:jc w:val="center"/>
              <w:rPr>
                <w:b/>
                <w:bCs/>
              </w:rPr>
            </w:pPr>
            <w:r>
              <w:rPr>
                <w:b/>
                <w:bCs/>
              </w:rPr>
              <w:t>Taxation</w:t>
            </w:r>
          </w:p>
        </w:tc>
        <w:tc>
          <w:tcPr>
            <w:tcW w:w="1440" w:type="dxa"/>
            <w:gridSpan w:val="2"/>
            <w:tcBorders>
              <w:top w:val="single" w:sz="12" w:space="0" w:color="auto"/>
              <w:left w:val="nil"/>
              <w:bottom w:val="single" w:sz="12" w:space="0" w:color="auto"/>
              <w:right w:val="nil"/>
            </w:tcBorders>
          </w:tcPr>
          <w:p w:rsidR="00B131A5" w:rsidRDefault="00B131A5" w:rsidP="00535D72">
            <w:pPr>
              <w:tabs>
                <w:tab w:val="left" w:pos="2070"/>
              </w:tabs>
              <w:spacing w:line="276" w:lineRule="auto"/>
              <w:jc w:val="center"/>
              <w:rPr>
                <w:b/>
                <w:bCs/>
              </w:rPr>
            </w:pPr>
            <w:r>
              <w:rPr>
                <w:b/>
                <w:bCs/>
              </w:rPr>
              <w:t>Frequency</w:t>
            </w:r>
          </w:p>
          <w:p w:rsidR="00B131A5" w:rsidRDefault="00B131A5" w:rsidP="00535D72">
            <w:pPr>
              <w:tabs>
                <w:tab w:val="left" w:pos="2070"/>
              </w:tabs>
              <w:spacing w:line="276" w:lineRule="auto"/>
              <w:jc w:val="center"/>
              <w:rPr>
                <w:b/>
                <w:bCs/>
              </w:rPr>
            </w:pPr>
            <w:r>
              <w:rPr>
                <w:b/>
                <w:bCs/>
              </w:rPr>
              <w:t>Of Taxation</w:t>
            </w:r>
          </w:p>
        </w:tc>
        <w:tc>
          <w:tcPr>
            <w:tcW w:w="1481" w:type="dxa"/>
            <w:tcBorders>
              <w:top w:val="single" w:sz="12" w:space="0" w:color="auto"/>
              <w:left w:val="nil"/>
              <w:bottom w:val="single" w:sz="12" w:space="0" w:color="auto"/>
              <w:right w:val="nil"/>
            </w:tcBorders>
          </w:tcPr>
          <w:p w:rsidR="00B131A5" w:rsidRDefault="00B131A5" w:rsidP="00535D72">
            <w:pPr>
              <w:tabs>
                <w:tab w:val="left" w:pos="2070"/>
              </w:tabs>
              <w:spacing w:line="276" w:lineRule="auto"/>
              <w:rPr>
                <w:b/>
                <w:bCs/>
              </w:rPr>
            </w:pPr>
            <w:r>
              <w:rPr>
                <w:b/>
                <w:bCs/>
              </w:rPr>
              <w:t>Is Initial</w:t>
            </w:r>
          </w:p>
          <w:p w:rsidR="00B131A5" w:rsidRDefault="00B131A5" w:rsidP="00535D72">
            <w:pPr>
              <w:tabs>
                <w:tab w:val="left" w:pos="2070"/>
              </w:tabs>
              <w:spacing w:line="276" w:lineRule="auto"/>
              <w:rPr>
                <w:b/>
                <w:bCs/>
              </w:rPr>
            </w:pPr>
            <w:r>
              <w:rPr>
                <w:b/>
                <w:bCs/>
              </w:rPr>
              <w:t>Investment</w:t>
            </w:r>
          </w:p>
          <w:p w:rsidR="00B131A5" w:rsidRDefault="00B131A5" w:rsidP="00535D72">
            <w:pPr>
              <w:tabs>
                <w:tab w:val="left" w:pos="2070"/>
              </w:tabs>
              <w:spacing w:line="276" w:lineRule="auto"/>
              <w:rPr>
                <w:b/>
                <w:bCs/>
              </w:rPr>
            </w:pPr>
            <w:r>
              <w:rPr>
                <w:b/>
                <w:bCs/>
              </w:rPr>
              <w:t>Deductible?</w:t>
            </w:r>
          </w:p>
        </w:tc>
        <w:tc>
          <w:tcPr>
            <w:tcW w:w="3379" w:type="dxa"/>
            <w:gridSpan w:val="2"/>
            <w:tcBorders>
              <w:top w:val="single" w:sz="12" w:space="0" w:color="auto"/>
              <w:left w:val="nil"/>
              <w:bottom w:val="single" w:sz="12" w:space="0" w:color="auto"/>
              <w:right w:val="nil"/>
            </w:tcBorders>
          </w:tcPr>
          <w:p w:rsidR="00B131A5" w:rsidRDefault="00B131A5" w:rsidP="00535D72">
            <w:pPr>
              <w:tabs>
                <w:tab w:val="left" w:pos="2070"/>
              </w:tabs>
              <w:spacing w:line="276" w:lineRule="auto"/>
              <w:rPr>
                <w:b/>
                <w:bCs/>
              </w:rPr>
            </w:pPr>
            <w:r>
              <w:rPr>
                <w:b/>
                <w:bCs/>
              </w:rPr>
              <w:t>Future Value of Investment After</w:t>
            </w:r>
            <w:r w:rsidR="00466A06">
              <w:rPr>
                <w:b/>
                <w:bCs/>
              </w:rPr>
              <w:t xml:space="preserve"> </w:t>
            </w:r>
            <w:r>
              <w:rPr>
                <w:b/>
                <w:bCs/>
              </w:rPr>
              <w:t>Taxes</w:t>
            </w:r>
            <w:r w:rsidR="00944F5F">
              <w:rPr>
                <w:b/>
                <w:bCs/>
              </w:rPr>
              <w:t xml:space="preserve"> (ATFV)</w:t>
            </w:r>
          </w:p>
        </w:tc>
      </w:tr>
      <w:tr w:rsidR="008918F7" w:rsidRPr="00B131A5" w:rsidTr="0032114B">
        <w:tc>
          <w:tcPr>
            <w:tcW w:w="5592" w:type="dxa"/>
            <w:gridSpan w:val="3"/>
            <w:tcBorders>
              <w:top w:val="single" w:sz="12" w:space="0" w:color="auto"/>
              <w:left w:val="nil"/>
              <w:bottom w:val="nil"/>
              <w:right w:val="nil"/>
            </w:tcBorders>
          </w:tcPr>
          <w:p w:rsidR="00B131A5" w:rsidRPr="00B131A5" w:rsidRDefault="00B131A5" w:rsidP="00535D72">
            <w:pPr>
              <w:tabs>
                <w:tab w:val="left" w:pos="2070"/>
              </w:tabs>
              <w:spacing w:line="276" w:lineRule="auto"/>
              <w:rPr>
                <w:bCs/>
              </w:rPr>
            </w:pPr>
            <w:r w:rsidRPr="00B131A5">
              <w:rPr>
                <w:bCs/>
              </w:rPr>
              <w:t xml:space="preserve">1) Taxed </w:t>
            </w:r>
            <w:r w:rsidR="002C65CA">
              <w:rPr>
                <w:bCs/>
              </w:rPr>
              <w:t>a</w:t>
            </w:r>
            <w:r w:rsidRPr="00B131A5">
              <w:rPr>
                <w:bCs/>
              </w:rPr>
              <w:t>nnually</w:t>
            </w:r>
            <w:r w:rsidR="00C05539">
              <w:rPr>
                <w:bCs/>
              </w:rPr>
              <w:t xml:space="preserve"> at </w:t>
            </w:r>
            <w:r w:rsidR="002C65CA">
              <w:rPr>
                <w:bCs/>
              </w:rPr>
              <w:t>o</w:t>
            </w:r>
            <w:r w:rsidR="00C05539">
              <w:rPr>
                <w:bCs/>
              </w:rPr>
              <w:t xml:space="preserve">rdinary </w:t>
            </w:r>
            <w:r w:rsidR="002C65CA">
              <w:rPr>
                <w:bCs/>
              </w:rPr>
              <w:t>r</w:t>
            </w:r>
            <w:r w:rsidR="00C05539">
              <w:rPr>
                <w:bCs/>
              </w:rPr>
              <w:t xml:space="preserve">ate </w:t>
            </w:r>
            <w:r w:rsidRPr="00B131A5">
              <w:rPr>
                <w:bCs/>
              </w:rPr>
              <w:t>/</w:t>
            </w:r>
          </w:p>
          <w:p w:rsidR="00B131A5" w:rsidRPr="008F3F14" w:rsidRDefault="00C05539" w:rsidP="000F742D">
            <w:pPr>
              <w:spacing w:line="276" w:lineRule="auto"/>
              <w:rPr>
                <w:bCs/>
              </w:rPr>
            </w:pPr>
            <w:r w:rsidRPr="00BB0D99">
              <w:rPr>
                <w:bCs/>
              </w:rPr>
              <w:t xml:space="preserve">e.g., </w:t>
            </w:r>
            <w:r w:rsidR="000F742D">
              <w:rPr>
                <w:bCs/>
              </w:rPr>
              <w:t>c</w:t>
            </w:r>
            <w:r w:rsidR="00B131A5" w:rsidRPr="00BB0D99">
              <w:rPr>
                <w:bCs/>
              </w:rPr>
              <w:t>ertif</w:t>
            </w:r>
            <w:r w:rsidRPr="00BB0D99">
              <w:rPr>
                <w:bCs/>
              </w:rPr>
              <w:t>icate</w:t>
            </w:r>
            <w:r w:rsidR="00B131A5" w:rsidRPr="00BB0D99">
              <w:rPr>
                <w:bCs/>
              </w:rPr>
              <w:t xml:space="preserve"> of </w:t>
            </w:r>
            <w:r w:rsidR="000F742D">
              <w:rPr>
                <w:bCs/>
              </w:rPr>
              <w:t>d</w:t>
            </w:r>
            <w:r w:rsidR="00B131A5" w:rsidRPr="00BB0D99">
              <w:rPr>
                <w:bCs/>
              </w:rPr>
              <w:t>ep</w:t>
            </w:r>
            <w:r w:rsidR="00D313A4" w:rsidRPr="00BB0D99">
              <w:rPr>
                <w:bCs/>
              </w:rPr>
              <w:t>osit,</w:t>
            </w:r>
            <w:r w:rsidR="00B131A5" w:rsidRPr="00BB0D99">
              <w:rPr>
                <w:bCs/>
              </w:rPr>
              <w:t xml:space="preserve"> </w:t>
            </w:r>
            <w:r w:rsidR="000F742D">
              <w:rPr>
                <w:bCs/>
              </w:rPr>
              <w:t>t</w:t>
            </w:r>
            <w:r w:rsidRPr="00BB0D99">
              <w:rPr>
                <w:bCs/>
              </w:rPr>
              <w:t xml:space="preserve">axable </w:t>
            </w:r>
            <w:r w:rsidR="000F742D">
              <w:rPr>
                <w:bCs/>
              </w:rPr>
              <w:t>b</w:t>
            </w:r>
            <w:r w:rsidR="00B131A5" w:rsidRPr="00BB0D99">
              <w:rPr>
                <w:bCs/>
              </w:rPr>
              <w:t>ond</w:t>
            </w:r>
          </w:p>
        </w:tc>
        <w:tc>
          <w:tcPr>
            <w:tcW w:w="1176" w:type="dxa"/>
            <w:gridSpan w:val="2"/>
            <w:tcBorders>
              <w:top w:val="single" w:sz="12" w:space="0" w:color="auto"/>
              <w:left w:val="nil"/>
              <w:bottom w:val="nil"/>
              <w:right w:val="nil"/>
            </w:tcBorders>
          </w:tcPr>
          <w:p w:rsidR="008918F7" w:rsidRDefault="008918F7" w:rsidP="00535D72">
            <w:pPr>
              <w:tabs>
                <w:tab w:val="left" w:pos="2070"/>
              </w:tabs>
              <w:spacing w:line="276" w:lineRule="auto"/>
              <w:jc w:val="center"/>
              <w:rPr>
                <w:bCs/>
              </w:rPr>
            </w:pPr>
          </w:p>
          <w:p w:rsidR="00B131A5" w:rsidRPr="00B131A5" w:rsidRDefault="00B131A5" w:rsidP="00535D72">
            <w:pPr>
              <w:tabs>
                <w:tab w:val="left" w:pos="2070"/>
              </w:tabs>
              <w:spacing w:line="276" w:lineRule="auto"/>
              <w:jc w:val="center"/>
              <w:rPr>
                <w:bCs/>
              </w:rPr>
            </w:pPr>
            <w:r w:rsidRPr="00B131A5">
              <w:rPr>
                <w:bCs/>
              </w:rPr>
              <w:t>Ordinary</w:t>
            </w:r>
          </w:p>
        </w:tc>
        <w:tc>
          <w:tcPr>
            <w:tcW w:w="1440" w:type="dxa"/>
            <w:gridSpan w:val="2"/>
            <w:tcBorders>
              <w:top w:val="single" w:sz="12" w:space="0" w:color="auto"/>
              <w:left w:val="nil"/>
              <w:bottom w:val="nil"/>
              <w:right w:val="nil"/>
            </w:tcBorders>
          </w:tcPr>
          <w:p w:rsidR="008918F7" w:rsidRDefault="008918F7" w:rsidP="00535D72">
            <w:pPr>
              <w:tabs>
                <w:tab w:val="left" w:pos="2070"/>
              </w:tabs>
              <w:spacing w:line="276" w:lineRule="auto"/>
              <w:jc w:val="center"/>
              <w:rPr>
                <w:bCs/>
              </w:rPr>
            </w:pPr>
          </w:p>
          <w:p w:rsidR="00B131A5" w:rsidRPr="00B131A5" w:rsidRDefault="00B131A5" w:rsidP="00535D72">
            <w:pPr>
              <w:tabs>
                <w:tab w:val="left" w:pos="2070"/>
              </w:tabs>
              <w:spacing w:line="276" w:lineRule="auto"/>
              <w:jc w:val="center"/>
              <w:rPr>
                <w:bCs/>
              </w:rPr>
            </w:pPr>
            <w:r w:rsidRPr="00B131A5">
              <w:rPr>
                <w:bCs/>
              </w:rPr>
              <w:t>Annual</w:t>
            </w:r>
          </w:p>
        </w:tc>
        <w:tc>
          <w:tcPr>
            <w:tcW w:w="1481" w:type="dxa"/>
            <w:tcBorders>
              <w:top w:val="single" w:sz="12" w:space="0" w:color="auto"/>
              <w:left w:val="nil"/>
              <w:bottom w:val="nil"/>
              <w:right w:val="nil"/>
            </w:tcBorders>
          </w:tcPr>
          <w:p w:rsidR="008918F7" w:rsidRDefault="008918F7" w:rsidP="00535D72">
            <w:pPr>
              <w:tabs>
                <w:tab w:val="left" w:pos="2070"/>
              </w:tabs>
              <w:spacing w:line="276" w:lineRule="auto"/>
              <w:jc w:val="center"/>
              <w:rPr>
                <w:bCs/>
              </w:rPr>
            </w:pPr>
          </w:p>
          <w:p w:rsidR="00B131A5" w:rsidRPr="00B131A5" w:rsidRDefault="00B131A5" w:rsidP="00535D72">
            <w:pPr>
              <w:tabs>
                <w:tab w:val="left" w:pos="2070"/>
              </w:tabs>
              <w:spacing w:line="276" w:lineRule="auto"/>
              <w:jc w:val="center"/>
              <w:rPr>
                <w:bCs/>
              </w:rPr>
            </w:pPr>
            <w:r w:rsidRPr="00B131A5">
              <w:rPr>
                <w:bCs/>
              </w:rPr>
              <w:t>No</w:t>
            </w:r>
          </w:p>
        </w:tc>
        <w:tc>
          <w:tcPr>
            <w:tcW w:w="3379" w:type="dxa"/>
            <w:gridSpan w:val="2"/>
            <w:tcBorders>
              <w:top w:val="single" w:sz="12" w:space="0" w:color="auto"/>
              <w:left w:val="nil"/>
              <w:bottom w:val="nil"/>
              <w:right w:val="nil"/>
            </w:tcBorders>
          </w:tcPr>
          <w:p w:rsidR="008918F7" w:rsidRDefault="008918F7" w:rsidP="00535D72">
            <w:pPr>
              <w:tabs>
                <w:tab w:val="left" w:pos="2070"/>
              </w:tabs>
              <w:spacing w:line="276" w:lineRule="auto"/>
              <w:rPr>
                <w:bCs/>
              </w:rPr>
            </w:pPr>
          </w:p>
          <w:p w:rsidR="00B131A5" w:rsidRPr="00B131A5" w:rsidRDefault="00B131A5" w:rsidP="00535D72">
            <w:pPr>
              <w:tabs>
                <w:tab w:val="left" w:pos="2070"/>
              </w:tabs>
              <w:spacing w:line="276" w:lineRule="auto"/>
              <w:rPr>
                <w:bCs/>
              </w:rPr>
            </w:pPr>
            <w:r w:rsidRPr="00B131A5">
              <w:rPr>
                <w:bCs/>
              </w:rPr>
              <w:t>= AT$ [1</w:t>
            </w:r>
            <w:r w:rsidR="00466A06">
              <w:rPr>
                <w:bCs/>
              </w:rPr>
              <w:t xml:space="preserve"> </w:t>
            </w:r>
            <w:r w:rsidRPr="00B131A5">
              <w:rPr>
                <w:bCs/>
              </w:rPr>
              <w:t>+ R (1 – t)]</w:t>
            </w:r>
            <w:r w:rsidRPr="00B131A5">
              <w:rPr>
                <w:bCs/>
                <w:vertAlign w:val="superscript"/>
              </w:rPr>
              <w:t>n</w:t>
            </w:r>
            <w:r w:rsidRPr="00B131A5">
              <w:rPr>
                <w:bCs/>
              </w:rPr>
              <w:t xml:space="preserve">          </w:t>
            </w:r>
          </w:p>
        </w:tc>
      </w:tr>
      <w:tr w:rsidR="008918F7" w:rsidRPr="00B131A5" w:rsidTr="0032114B">
        <w:tc>
          <w:tcPr>
            <w:tcW w:w="5592" w:type="dxa"/>
            <w:gridSpan w:val="3"/>
            <w:tcBorders>
              <w:top w:val="nil"/>
              <w:left w:val="nil"/>
              <w:bottom w:val="nil"/>
              <w:right w:val="nil"/>
            </w:tcBorders>
          </w:tcPr>
          <w:p w:rsidR="00B131A5" w:rsidRPr="00B131A5" w:rsidRDefault="00B131A5" w:rsidP="00535D72">
            <w:pPr>
              <w:tabs>
                <w:tab w:val="left" w:pos="2070"/>
              </w:tabs>
              <w:spacing w:line="276" w:lineRule="auto"/>
              <w:rPr>
                <w:bCs/>
              </w:rPr>
            </w:pPr>
          </w:p>
          <w:p w:rsidR="00C05539" w:rsidRPr="00C05539" w:rsidRDefault="00C05539" w:rsidP="00535D72">
            <w:pPr>
              <w:tabs>
                <w:tab w:val="left" w:pos="2070"/>
              </w:tabs>
              <w:spacing w:line="276" w:lineRule="auto"/>
              <w:rPr>
                <w:bCs/>
              </w:rPr>
            </w:pPr>
            <w:r w:rsidRPr="00C05539">
              <w:rPr>
                <w:bCs/>
              </w:rPr>
              <w:t>2) Taxed annually and rate is favorable</w:t>
            </w:r>
            <w:r w:rsidR="00BB0D99">
              <w:rPr>
                <w:bCs/>
              </w:rPr>
              <w:t xml:space="preserve"> because of </w:t>
            </w:r>
            <w:r w:rsidR="002C65CA">
              <w:rPr>
                <w:bCs/>
              </w:rPr>
              <w:t xml:space="preserve">qualified dividends and/or capital gain distributions </w:t>
            </w:r>
            <w:r w:rsidRPr="00C05539">
              <w:rPr>
                <w:bCs/>
              </w:rPr>
              <w:t xml:space="preserve">/ </w:t>
            </w:r>
          </w:p>
          <w:p w:rsidR="00C05539" w:rsidRDefault="00C05539" w:rsidP="00535D72">
            <w:pPr>
              <w:tabs>
                <w:tab w:val="left" w:pos="2070"/>
              </w:tabs>
              <w:spacing w:line="276" w:lineRule="auto"/>
              <w:rPr>
                <w:bCs/>
              </w:rPr>
            </w:pPr>
            <w:r w:rsidRPr="00C05539">
              <w:rPr>
                <w:bCs/>
              </w:rPr>
              <w:t xml:space="preserve">e.g., </w:t>
            </w:r>
            <w:r w:rsidR="00466A06">
              <w:rPr>
                <w:bCs/>
              </w:rPr>
              <w:t>a</w:t>
            </w:r>
            <w:r w:rsidR="002C65CA">
              <w:rPr>
                <w:bCs/>
              </w:rPr>
              <w:t>ctively managed m</w:t>
            </w:r>
            <w:r w:rsidRPr="00C05539">
              <w:rPr>
                <w:bCs/>
              </w:rPr>
              <w:t xml:space="preserve">utual fund of stocks </w:t>
            </w:r>
          </w:p>
          <w:p w:rsidR="00C05539" w:rsidRDefault="00C05539" w:rsidP="00535D72">
            <w:pPr>
              <w:tabs>
                <w:tab w:val="left" w:pos="2070"/>
              </w:tabs>
              <w:spacing w:line="276" w:lineRule="auto"/>
              <w:rPr>
                <w:bCs/>
              </w:rPr>
            </w:pPr>
          </w:p>
          <w:p w:rsidR="00B131A5" w:rsidRPr="00B131A5" w:rsidRDefault="00C05539" w:rsidP="000F742D">
            <w:pPr>
              <w:tabs>
                <w:tab w:val="left" w:pos="2070"/>
              </w:tabs>
              <w:spacing w:line="276" w:lineRule="auto"/>
              <w:rPr>
                <w:bCs/>
              </w:rPr>
            </w:pPr>
            <w:r>
              <w:rPr>
                <w:bCs/>
              </w:rPr>
              <w:t>3</w:t>
            </w:r>
            <w:r w:rsidR="00B131A5" w:rsidRPr="00B131A5">
              <w:rPr>
                <w:bCs/>
              </w:rPr>
              <w:t xml:space="preserve">) Tax </w:t>
            </w:r>
            <w:r w:rsidR="000F742D">
              <w:rPr>
                <w:bCs/>
              </w:rPr>
              <w:t>d</w:t>
            </w:r>
            <w:r w:rsidR="00B131A5" w:rsidRPr="00B131A5">
              <w:rPr>
                <w:bCs/>
              </w:rPr>
              <w:t xml:space="preserve">eferred until sale </w:t>
            </w:r>
            <w:r w:rsidR="00A96B9C">
              <w:rPr>
                <w:bCs/>
              </w:rPr>
              <w:t>and</w:t>
            </w:r>
            <w:r w:rsidR="00B131A5" w:rsidRPr="00B131A5">
              <w:rPr>
                <w:bCs/>
              </w:rPr>
              <w:t xml:space="preserve"> rate is favorable</w:t>
            </w:r>
            <w:r w:rsidR="002C65CA">
              <w:rPr>
                <w:bCs/>
              </w:rPr>
              <w:t xml:space="preserve"> since long-term capital gain</w:t>
            </w:r>
            <w:r w:rsidR="00B131A5" w:rsidRPr="00B131A5">
              <w:rPr>
                <w:bCs/>
              </w:rPr>
              <w:t xml:space="preserve"> / e.g</w:t>
            </w:r>
            <w:r w:rsidR="00B131A5" w:rsidRPr="00C05539">
              <w:rPr>
                <w:bCs/>
              </w:rPr>
              <w:t xml:space="preserve">., </w:t>
            </w:r>
            <w:r w:rsidR="000F742D">
              <w:rPr>
                <w:bCs/>
              </w:rPr>
              <w:t>s</w:t>
            </w:r>
            <w:r w:rsidR="00B131A5" w:rsidRPr="00C05539">
              <w:rPr>
                <w:bCs/>
              </w:rPr>
              <w:t>tock that pays no dividends</w:t>
            </w:r>
            <w:r w:rsidR="00B131A5" w:rsidRPr="00B131A5">
              <w:rPr>
                <w:bCs/>
                <w:u w:val="single"/>
              </w:rPr>
              <w:t xml:space="preserve"> </w:t>
            </w:r>
          </w:p>
        </w:tc>
        <w:tc>
          <w:tcPr>
            <w:tcW w:w="1176" w:type="dxa"/>
            <w:gridSpan w:val="2"/>
            <w:tcBorders>
              <w:top w:val="nil"/>
              <w:left w:val="nil"/>
              <w:bottom w:val="nil"/>
              <w:right w:val="nil"/>
            </w:tcBorders>
          </w:tcPr>
          <w:p w:rsidR="00B131A5" w:rsidRPr="00B131A5" w:rsidRDefault="00B131A5" w:rsidP="00535D72">
            <w:pPr>
              <w:tabs>
                <w:tab w:val="left" w:pos="2070"/>
              </w:tabs>
              <w:spacing w:line="276" w:lineRule="auto"/>
              <w:jc w:val="center"/>
              <w:rPr>
                <w:bCs/>
              </w:rPr>
            </w:pPr>
          </w:p>
          <w:p w:rsidR="00BB0D99" w:rsidRDefault="00BB0D99" w:rsidP="00A9669A">
            <w:pPr>
              <w:pStyle w:val="Heading5"/>
              <w:spacing w:before="0" w:line="276" w:lineRule="auto"/>
              <w:ind w:left="-52"/>
              <w:jc w:val="center"/>
              <w:rPr>
                <w:rFonts w:ascii="Times New Roman" w:hAnsi="Times New Roman" w:cs="Times New Roman"/>
                <w:bCs/>
                <w:color w:val="auto"/>
              </w:rPr>
            </w:pPr>
          </w:p>
          <w:p w:rsidR="00C05539" w:rsidRPr="00B131A5" w:rsidRDefault="00212149" w:rsidP="00110B63">
            <w:pPr>
              <w:pStyle w:val="Heading5"/>
              <w:spacing w:before="0" w:line="276" w:lineRule="auto"/>
              <w:ind w:left="-52"/>
              <w:jc w:val="center"/>
              <w:rPr>
                <w:rFonts w:ascii="Times New Roman" w:hAnsi="Times New Roman" w:cs="Times New Roman"/>
                <w:color w:val="auto"/>
              </w:rPr>
            </w:pPr>
            <w:r>
              <w:rPr>
                <w:rFonts w:ascii="Times New Roman" w:hAnsi="Times New Roman" w:cs="Times New Roman"/>
                <w:bCs/>
                <w:color w:val="auto"/>
              </w:rPr>
              <w:t>Favorable</w:t>
            </w:r>
          </w:p>
          <w:p w:rsidR="00B131A5" w:rsidRPr="00B131A5" w:rsidRDefault="00B131A5" w:rsidP="00535D72">
            <w:pPr>
              <w:tabs>
                <w:tab w:val="left" w:pos="2070"/>
              </w:tabs>
              <w:spacing w:line="276" w:lineRule="auto"/>
              <w:jc w:val="center"/>
              <w:rPr>
                <w:bCs/>
              </w:rPr>
            </w:pPr>
          </w:p>
          <w:p w:rsidR="008918F7" w:rsidRDefault="008918F7" w:rsidP="00110B63">
            <w:pPr>
              <w:tabs>
                <w:tab w:val="left" w:pos="2070"/>
              </w:tabs>
              <w:spacing w:line="276" w:lineRule="auto"/>
              <w:rPr>
                <w:rFonts w:eastAsiaTheme="majorEastAsia"/>
                <w:bCs/>
              </w:rPr>
            </w:pPr>
          </w:p>
          <w:p w:rsidR="00110B63" w:rsidRDefault="00110B63" w:rsidP="00110B63">
            <w:pPr>
              <w:tabs>
                <w:tab w:val="left" w:pos="2070"/>
              </w:tabs>
              <w:spacing w:line="276" w:lineRule="auto"/>
              <w:jc w:val="center"/>
              <w:rPr>
                <w:bCs/>
              </w:rPr>
            </w:pPr>
          </w:p>
          <w:p w:rsidR="00B131A5" w:rsidRPr="00B131A5" w:rsidRDefault="00212149" w:rsidP="00110B63">
            <w:pPr>
              <w:tabs>
                <w:tab w:val="left" w:pos="2070"/>
              </w:tabs>
              <w:spacing w:line="276" w:lineRule="auto"/>
              <w:jc w:val="center"/>
              <w:rPr>
                <w:bCs/>
              </w:rPr>
            </w:pPr>
            <w:r>
              <w:rPr>
                <w:bCs/>
              </w:rPr>
              <w:t>Favorable</w:t>
            </w:r>
          </w:p>
        </w:tc>
        <w:tc>
          <w:tcPr>
            <w:tcW w:w="1440" w:type="dxa"/>
            <w:gridSpan w:val="2"/>
            <w:tcBorders>
              <w:top w:val="nil"/>
              <w:left w:val="nil"/>
              <w:bottom w:val="nil"/>
              <w:right w:val="nil"/>
            </w:tcBorders>
          </w:tcPr>
          <w:p w:rsidR="00B131A5" w:rsidRPr="00B131A5" w:rsidRDefault="00B131A5" w:rsidP="00535D72">
            <w:pPr>
              <w:tabs>
                <w:tab w:val="left" w:pos="2070"/>
              </w:tabs>
              <w:spacing w:line="276" w:lineRule="auto"/>
              <w:jc w:val="center"/>
              <w:rPr>
                <w:bCs/>
              </w:rPr>
            </w:pPr>
          </w:p>
          <w:p w:rsidR="00B131A5" w:rsidRPr="00B131A5" w:rsidRDefault="00B131A5" w:rsidP="00535D72">
            <w:pPr>
              <w:tabs>
                <w:tab w:val="left" w:pos="2070"/>
              </w:tabs>
              <w:spacing w:line="276" w:lineRule="auto"/>
              <w:jc w:val="center"/>
              <w:rPr>
                <w:bCs/>
              </w:rPr>
            </w:pPr>
          </w:p>
          <w:p w:rsidR="00C05539" w:rsidRDefault="00C05539" w:rsidP="00535D72">
            <w:pPr>
              <w:tabs>
                <w:tab w:val="left" w:pos="2070"/>
              </w:tabs>
              <w:spacing w:line="276" w:lineRule="auto"/>
              <w:jc w:val="center"/>
              <w:rPr>
                <w:bCs/>
              </w:rPr>
            </w:pPr>
            <w:r>
              <w:rPr>
                <w:bCs/>
              </w:rPr>
              <w:t>Annual</w:t>
            </w:r>
          </w:p>
          <w:p w:rsidR="00C05539" w:rsidRDefault="00C05539" w:rsidP="00535D72">
            <w:pPr>
              <w:tabs>
                <w:tab w:val="left" w:pos="2070"/>
              </w:tabs>
              <w:spacing w:line="276" w:lineRule="auto"/>
              <w:jc w:val="center"/>
              <w:rPr>
                <w:bCs/>
              </w:rPr>
            </w:pPr>
          </w:p>
          <w:p w:rsidR="00C05539" w:rsidRDefault="00C05539" w:rsidP="00535D72">
            <w:pPr>
              <w:tabs>
                <w:tab w:val="left" w:pos="2070"/>
              </w:tabs>
              <w:spacing w:line="276" w:lineRule="auto"/>
              <w:jc w:val="center"/>
              <w:rPr>
                <w:bCs/>
              </w:rPr>
            </w:pPr>
          </w:p>
          <w:p w:rsidR="00C05539" w:rsidRDefault="00C05539" w:rsidP="00535D72">
            <w:pPr>
              <w:tabs>
                <w:tab w:val="left" w:pos="2070"/>
              </w:tabs>
              <w:spacing w:line="276" w:lineRule="auto"/>
              <w:jc w:val="center"/>
              <w:rPr>
                <w:bCs/>
              </w:rPr>
            </w:pPr>
          </w:p>
          <w:p w:rsidR="00B131A5" w:rsidRPr="00B131A5" w:rsidRDefault="00B131A5" w:rsidP="00535D72">
            <w:pPr>
              <w:tabs>
                <w:tab w:val="left" w:pos="2070"/>
              </w:tabs>
              <w:spacing w:line="276" w:lineRule="auto"/>
              <w:jc w:val="center"/>
              <w:rPr>
                <w:bCs/>
              </w:rPr>
            </w:pPr>
            <w:r w:rsidRPr="00B131A5">
              <w:rPr>
                <w:bCs/>
              </w:rPr>
              <w:t>Deferred</w:t>
            </w:r>
          </w:p>
        </w:tc>
        <w:tc>
          <w:tcPr>
            <w:tcW w:w="1481" w:type="dxa"/>
            <w:tcBorders>
              <w:top w:val="nil"/>
              <w:left w:val="nil"/>
              <w:bottom w:val="nil"/>
              <w:right w:val="nil"/>
            </w:tcBorders>
          </w:tcPr>
          <w:p w:rsidR="00B131A5" w:rsidRPr="00B131A5" w:rsidRDefault="00B131A5" w:rsidP="00535D72">
            <w:pPr>
              <w:tabs>
                <w:tab w:val="left" w:pos="2070"/>
              </w:tabs>
              <w:spacing w:line="276" w:lineRule="auto"/>
              <w:rPr>
                <w:bCs/>
              </w:rPr>
            </w:pPr>
          </w:p>
          <w:p w:rsidR="00B131A5" w:rsidRPr="00B131A5" w:rsidRDefault="00B131A5" w:rsidP="00535D72">
            <w:pPr>
              <w:tabs>
                <w:tab w:val="left" w:pos="2070"/>
              </w:tabs>
              <w:spacing w:line="276" w:lineRule="auto"/>
              <w:rPr>
                <w:bCs/>
              </w:rPr>
            </w:pPr>
          </w:p>
          <w:p w:rsidR="00C05539" w:rsidRDefault="00C05539" w:rsidP="00535D72">
            <w:pPr>
              <w:tabs>
                <w:tab w:val="left" w:pos="2070"/>
              </w:tabs>
              <w:spacing w:line="276" w:lineRule="auto"/>
              <w:jc w:val="center"/>
              <w:rPr>
                <w:bCs/>
              </w:rPr>
            </w:pPr>
            <w:r>
              <w:rPr>
                <w:bCs/>
              </w:rPr>
              <w:t>No</w:t>
            </w:r>
          </w:p>
          <w:p w:rsidR="00C05539" w:rsidRDefault="00C05539" w:rsidP="00535D72">
            <w:pPr>
              <w:tabs>
                <w:tab w:val="left" w:pos="2070"/>
              </w:tabs>
              <w:spacing w:line="276" w:lineRule="auto"/>
              <w:jc w:val="center"/>
              <w:rPr>
                <w:bCs/>
              </w:rPr>
            </w:pPr>
          </w:p>
          <w:p w:rsidR="00C05539" w:rsidRDefault="00C05539" w:rsidP="00535D72">
            <w:pPr>
              <w:tabs>
                <w:tab w:val="left" w:pos="2070"/>
              </w:tabs>
              <w:spacing w:line="276" w:lineRule="auto"/>
              <w:jc w:val="center"/>
              <w:rPr>
                <w:bCs/>
              </w:rPr>
            </w:pPr>
          </w:p>
          <w:p w:rsidR="00C05539" w:rsidRDefault="00C05539" w:rsidP="00535D72">
            <w:pPr>
              <w:tabs>
                <w:tab w:val="left" w:pos="2070"/>
              </w:tabs>
              <w:spacing w:line="276" w:lineRule="auto"/>
              <w:jc w:val="center"/>
              <w:rPr>
                <w:bCs/>
              </w:rPr>
            </w:pPr>
          </w:p>
          <w:p w:rsidR="00B131A5" w:rsidRPr="00B131A5" w:rsidRDefault="00B131A5" w:rsidP="00535D72">
            <w:pPr>
              <w:tabs>
                <w:tab w:val="left" w:pos="2070"/>
              </w:tabs>
              <w:spacing w:line="276" w:lineRule="auto"/>
              <w:jc w:val="center"/>
              <w:rPr>
                <w:bCs/>
              </w:rPr>
            </w:pPr>
            <w:r w:rsidRPr="00B131A5">
              <w:rPr>
                <w:bCs/>
              </w:rPr>
              <w:t>No</w:t>
            </w:r>
          </w:p>
        </w:tc>
        <w:tc>
          <w:tcPr>
            <w:tcW w:w="3379" w:type="dxa"/>
            <w:gridSpan w:val="2"/>
            <w:tcBorders>
              <w:top w:val="nil"/>
              <w:left w:val="nil"/>
              <w:bottom w:val="nil"/>
              <w:right w:val="nil"/>
            </w:tcBorders>
          </w:tcPr>
          <w:p w:rsidR="00B131A5" w:rsidRPr="00B131A5" w:rsidRDefault="00B131A5" w:rsidP="00535D72">
            <w:pPr>
              <w:tabs>
                <w:tab w:val="left" w:pos="2070"/>
              </w:tabs>
              <w:spacing w:line="276" w:lineRule="auto"/>
              <w:rPr>
                <w:bCs/>
              </w:rPr>
            </w:pPr>
          </w:p>
          <w:p w:rsidR="002C65CA" w:rsidRDefault="002C65CA" w:rsidP="00535D72">
            <w:pPr>
              <w:tabs>
                <w:tab w:val="left" w:pos="2070"/>
              </w:tabs>
              <w:spacing w:line="276" w:lineRule="auto"/>
              <w:rPr>
                <w:bCs/>
              </w:rPr>
            </w:pPr>
          </w:p>
          <w:p w:rsidR="00B131A5" w:rsidRPr="00C05539" w:rsidRDefault="00C05539" w:rsidP="00535D72">
            <w:pPr>
              <w:tabs>
                <w:tab w:val="left" w:pos="2070"/>
              </w:tabs>
              <w:spacing w:line="276" w:lineRule="auto"/>
              <w:rPr>
                <w:bCs/>
              </w:rPr>
            </w:pPr>
            <w:r w:rsidRPr="00C05539">
              <w:rPr>
                <w:bCs/>
              </w:rPr>
              <w:t>= AT$ [1 + R (1 – g)]</w:t>
            </w:r>
            <w:r w:rsidRPr="00C05539">
              <w:rPr>
                <w:bCs/>
                <w:vertAlign w:val="superscript"/>
              </w:rPr>
              <w:t>n</w:t>
            </w:r>
          </w:p>
          <w:p w:rsidR="00B131A5" w:rsidRPr="00B131A5" w:rsidRDefault="00B131A5" w:rsidP="00535D72">
            <w:pPr>
              <w:tabs>
                <w:tab w:val="left" w:pos="2070"/>
              </w:tabs>
              <w:spacing w:line="276" w:lineRule="auto"/>
              <w:rPr>
                <w:bCs/>
              </w:rPr>
            </w:pPr>
          </w:p>
          <w:p w:rsidR="00C05539" w:rsidRDefault="00C05539" w:rsidP="00535D72">
            <w:pPr>
              <w:tabs>
                <w:tab w:val="left" w:pos="2070"/>
              </w:tabs>
              <w:spacing w:line="276" w:lineRule="auto"/>
              <w:rPr>
                <w:bCs/>
              </w:rPr>
            </w:pPr>
          </w:p>
          <w:p w:rsidR="00C05539" w:rsidRDefault="00C05539" w:rsidP="00535D72">
            <w:pPr>
              <w:tabs>
                <w:tab w:val="left" w:pos="2070"/>
              </w:tabs>
              <w:spacing w:line="276" w:lineRule="auto"/>
              <w:rPr>
                <w:bCs/>
              </w:rPr>
            </w:pPr>
          </w:p>
          <w:p w:rsidR="00B131A5" w:rsidRPr="00B131A5" w:rsidRDefault="00B131A5" w:rsidP="00535D72">
            <w:pPr>
              <w:tabs>
                <w:tab w:val="left" w:pos="2070"/>
              </w:tabs>
              <w:spacing w:line="276" w:lineRule="auto"/>
              <w:rPr>
                <w:bCs/>
              </w:rPr>
            </w:pPr>
            <w:r w:rsidRPr="00B131A5">
              <w:rPr>
                <w:bCs/>
              </w:rPr>
              <w:t>= AT$ [(1 + R )</w:t>
            </w:r>
            <w:r w:rsidRPr="00B131A5">
              <w:rPr>
                <w:bCs/>
                <w:vertAlign w:val="superscript"/>
              </w:rPr>
              <w:t>n</w:t>
            </w:r>
            <w:r w:rsidRPr="00B131A5">
              <w:rPr>
                <w:bCs/>
              </w:rPr>
              <w:t xml:space="preserve"> (1 – g</w:t>
            </w:r>
            <w:r w:rsidRPr="00B131A5">
              <w:rPr>
                <w:bCs/>
                <w:vertAlign w:val="subscript"/>
              </w:rPr>
              <w:t>n</w:t>
            </w:r>
            <w:r w:rsidRPr="00B131A5">
              <w:rPr>
                <w:bCs/>
              </w:rPr>
              <w:t>) + g</w:t>
            </w:r>
            <w:r w:rsidRPr="00B131A5">
              <w:rPr>
                <w:bCs/>
                <w:vertAlign w:val="subscript"/>
              </w:rPr>
              <w:t>n</w:t>
            </w:r>
            <w:r w:rsidRPr="00B131A5">
              <w:rPr>
                <w:bCs/>
              </w:rPr>
              <w:t>]</w:t>
            </w:r>
          </w:p>
        </w:tc>
      </w:tr>
      <w:tr w:rsidR="008918F7" w:rsidRPr="00B131A5" w:rsidTr="0032114B">
        <w:tc>
          <w:tcPr>
            <w:tcW w:w="5592" w:type="dxa"/>
            <w:gridSpan w:val="3"/>
            <w:tcBorders>
              <w:top w:val="nil"/>
              <w:left w:val="nil"/>
              <w:bottom w:val="nil"/>
              <w:right w:val="nil"/>
            </w:tcBorders>
          </w:tcPr>
          <w:p w:rsidR="00B131A5" w:rsidRPr="00B131A5" w:rsidRDefault="00B131A5" w:rsidP="00535D72">
            <w:pPr>
              <w:tabs>
                <w:tab w:val="left" w:pos="2070"/>
              </w:tabs>
              <w:spacing w:line="276" w:lineRule="auto"/>
              <w:rPr>
                <w:bCs/>
              </w:rPr>
            </w:pPr>
          </w:p>
          <w:p w:rsidR="00B131A5" w:rsidRPr="00B131A5" w:rsidRDefault="00B131A5" w:rsidP="008918F7">
            <w:pPr>
              <w:tabs>
                <w:tab w:val="left" w:pos="2070"/>
              </w:tabs>
              <w:spacing w:line="276" w:lineRule="auto"/>
              <w:rPr>
                <w:bCs/>
                <w:u w:val="single"/>
              </w:rPr>
            </w:pPr>
            <w:r>
              <w:rPr>
                <w:bCs/>
              </w:rPr>
              <w:t>4</w:t>
            </w:r>
            <w:r w:rsidRPr="00B131A5">
              <w:rPr>
                <w:bCs/>
              </w:rPr>
              <w:t xml:space="preserve">) Tax </w:t>
            </w:r>
            <w:r w:rsidR="000F742D">
              <w:rPr>
                <w:bCs/>
              </w:rPr>
              <w:t>s</w:t>
            </w:r>
            <w:r w:rsidRPr="00B131A5">
              <w:rPr>
                <w:bCs/>
              </w:rPr>
              <w:t xml:space="preserve">avings at </w:t>
            </w:r>
            <w:r w:rsidR="000F742D">
              <w:rPr>
                <w:bCs/>
              </w:rPr>
              <w:t>c</w:t>
            </w:r>
            <w:r w:rsidRPr="00B131A5">
              <w:rPr>
                <w:bCs/>
              </w:rPr>
              <w:t xml:space="preserve">ontribution and </w:t>
            </w:r>
            <w:r w:rsidR="000F742D">
              <w:rPr>
                <w:bCs/>
              </w:rPr>
              <w:t>t</w:t>
            </w:r>
            <w:r w:rsidRPr="00B131A5">
              <w:rPr>
                <w:bCs/>
              </w:rPr>
              <w:t xml:space="preserve">ax </w:t>
            </w:r>
            <w:r w:rsidR="000F742D">
              <w:rPr>
                <w:bCs/>
              </w:rPr>
              <w:t>d</w:t>
            </w:r>
            <w:r w:rsidRPr="00B131A5">
              <w:rPr>
                <w:bCs/>
              </w:rPr>
              <w:t>eferred until payout /</w:t>
            </w:r>
            <w:r w:rsidR="008918F7">
              <w:rPr>
                <w:bCs/>
              </w:rPr>
              <w:t xml:space="preserve"> </w:t>
            </w:r>
            <w:r w:rsidR="002C65CA">
              <w:rPr>
                <w:bCs/>
              </w:rPr>
              <w:t>e.g.,</w:t>
            </w:r>
            <w:r w:rsidRPr="00C05539">
              <w:rPr>
                <w:bCs/>
              </w:rPr>
              <w:t xml:space="preserve"> 401(k),  403(b),  </w:t>
            </w:r>
            <w:r w:rsidR="00C05539" w:rsidRPr="00C05539">
              <w:rPr>
                <w:bCs/>
              </w:rPr>
              <w:t xml:space="preserve">deductible </w:t>
            </w:r>
            <w:r w:rsidR="002C65CA">
              <w:rPr>
                <w:bCs/>
              </w:rPr>
              <w:t>IRA</w:t>
            </w:r>
          </w:p>
        </w:tc>
        <w:tc>
          <w:tcPr>
            <w:tcW w:w="1176" w:type="dxa"/>
            <w:gridSpan w:val="2"/>
            <w:tcBorders>
              <w:top w:val="nil"/>
              <w:left w:val="nil"/>
              <w:bottom w:val="nil"/>
              <w:right w:val="nil"/>
            </w:tcBorders>
          </w:tcPr>
          <w:p w:rsidR="00B131A5" w:rsidRPr="00B131A5" w:rsidRDefault="00B131A5" w:rsidP="00535D72">
            <w:pPr>
              <w:tabs>
                <w:tab w:val="left" w:pos="2070"/>
              </w:tabs>
              <w:spacing w:line="276" w:lineRule="auto"/>
              <w:jc w:val="center"/>
              <w:rPr>
                <w:bCs/>
              </w:rPr>
            </w:pPr>
          </w:p>
          <w:p w:rsidR="00B131A5" w:rsidRPr="00B131A5" w:rsidRDefault="00B131A5" w:rsidP="00535D72">
            <w:pPr>
              <w:tabs>
                <w:tab w:val="left" w:pos="2070"/>
              </w:tabs>
              <w:spacing w:line="276" w:lineRule="auto"/>
              <w:jc w:val="center"/>
              <w:rPr>
                <w:bCs/>
              </w:rPr>
            </w:pPr>
            <w:r w:rsidRPr="00B131A5">
              <w:rPr>
                <w:bCs/>
              </w:rPr>
              <w:t>Ordinary</w:t>
            </w:r>
          </w:p>
        </w:tc>
        <w:tc>
          <w:tcPr>
            <w:tcW w:w="1440" w:type="dxa"/>
            <w:gridSpan w:val="2"/>
            <w:tcBorders>
              <w:top w:val="nil"/>
              <w:left w:val="nil"/>
              <w:bottom w:val="nil"/>
              <w:right w:val="nil"/>
            </w:tcBorders>
          </w:tcPr>
          <w:p w:rsidR="00B131A5" w:rsidRPr="00B131A5" w:rsidRDefault="00B131A5" w:rsidP="00535D72">
            <w:pPr>
              <w:tabs>
                <w:tab w:val="left" w:pos="2070"/>
              </w:tabs>
              <w:spacing w:line="276" w:lineRule="auto"/>
              <w:rPr>
                <w:bCs/>
              </w:rPr>
            </w:pPr>
          </w:p>
          <w:p w:rsidR="00B131A5" w:rsidRPr="00B131A5" w:rsidRDefault="00B131A5" w:rsidP="00535D72">
            <w:pPr>
              <w:tabs>
                <w:tab w:val="left" w:pos="2070"/>
              </w:tabs>
              <w:spacing w:line="276" w:lineRule="auto"/>
              <w:jc w:val="center"/>
              <w:rPr>
                <w:bCs/>
              </w:rPr>
            </w:pPr>
            <w:r w:rsidRPr="00B131A5">
              <w:rPr>
                <w:bCs/>
              </w:rPr>
              <w:t>Deferred</w:t>
            </w:r>
          </w:p>
        </w:tc>
        <w:tc>
          <w:tcPr>
            <w:tcW w:w="1481" w:type="dxa"/>
            <w:tcBorders>
              <w:top w:val="nil"/>
              <w:left w:val="nil"/>
              <w:bottom w:val="nil"/>
              <w:right w:val="nil"/>
            </w:tcBorders>
          </w:tcPr>
          <w:p w:rsidR="00B131A5" w:rsidRPr="00B131A5" w:rsidRDefault="00B131A5" w:rsidP="00535D72">
            <w:pPr>
              <w:tabs>
                <w:tab w:val="left" w:pos="2070"/>
              </w:tabs>
              <w:spacing w:line="276" w:lineRule="auto"/>
              <w:rPr>
                <w:bCs/>
              </w:rPr>
            </w:pPr>
          </w:p>
          <w:p w:rsidR="00B131A5" w:rsidRPr="00B131A5" w:rsidRDefault="00B131A5" w:rsidP="00535D72">
            <w:pPr>
              <w:tabs>
                <w:tab w:val="left" w:pos="2070"/>
              </w:tabs>
              <w:spacing w:line="276" w:lineRule="auto"/>
              <w:jc w:val="center"/>
              <w:rPr>
                <w:bCs/>
              </w:rPr>
            </w:pPr>
            <w:r w:rsidRPr="00B131A5">
              <w:rPr>
                <w:bCs/>
              </w:rPr>
              <w:t>Yes</w:t>
            </w:r>
          </w:p>
        </w:tc>
        <w:tc>
          <w:tcPr>
            <w:tcW w:w="3379" w:type="dxa"/>
            <w:gridSpan w:val="2"/>
            <w:tcBorders>
              <w:top w:val="nil"/>
              <w:left w:val="nil"/>
              <w:bottom w:val="nil"/>
              <w:right w:val="nil"/>
            </w:tcBorders>
          </w:tcPr>
          <w:p w:rsidR="002C65CA" w:rsidRDefault="002C65CA" w:rsidP="00535D72">
            <w:pPr>
              <w:spacing w:line="276" w:lineRule="auto"/>
            </w:pPr>
          </w:p>
          <w:p w:rsidR="00B131A5" w:rsidRPr="00B131A5" w:rsidRDefault="00B131A5" w:rsidP="00535D72">
            <w:pPr>
              <w:spacing w:line="276" w:lineRule="auto"/>
              <w:rPr>
                <w:u w:val="single"/>
              </w:rPr>
            </w:pPr>
            <w:r w:rsidRPr="00B131A5">
              <w:t xml:space="preserve">=  </w:t>
            </w:r>
            <w:r w:rsidRPr="00B131A5">
              <w:rPr>
                <w:u w:val="single"/>
              </w:rPr>
              <w:t xml:space="preserve">AT$   </w:t>
            </w:r>
            <w:r w:rsidRPr="00B131A5">
              <w:t xml:space="preserve"> (1 + R )</w:t>
            </w:r>
            <w:r w:rsidRPr="00B131A5">
              <w:rPr>
                <w:vertAlign w:val="superscript"/>
              </w:rPr>
              <w:t>n</w:t>
            </w:r>
            <w:r w:rsidRPr="00B131A5">
              <w:t xml:space="preserve"> (1 – t</w:t>
            </w:r>
            <w:r w:rsidRPr="00B131A5">
              <w:rPr>
                <w:vertAlign w:val="subscript"/>
              </w:rPr>
              <w:t>n</w:t>
            </w:r>
            <w:r w:rsidRPr="00B131A5">
              <w:t xml:space="preserve"> ) </w:t>
            </w:r>
          </w:p>
          <w:p w:rsidR="00B131A5" w:rsidRPr="00B131A5" w:rsidRDefault="00B131A5" w:rsidP="00535D72">
            <w:pPr>
              <w:spacing w:line="276" w:lineRule="auto"/>
            </w:pPr>
            <w:r w:rsidRPr="00B131A5">
              <w:t xml:space="preserve">  ( 1 – t</w:t>
            </w:r>
            <w:r w:rsidRPr="00B131A5">
              <w:rPr>
                <w:vertAlign w:val="subscript"/>
              </w:rPr>
              <w:t>0</w:t>
            </w:r>
            <w:r w:rsidRPr="00B131A5">
              <w:t xml:space="preserve"> ) </w:t>
            </w:r>
          </w:p>
          <w:p w:rsidR="00B131A5" w:rsidRPr="00B131A5" w:rsidRDefault="00B131A5" w:rsidP="00535D72">
            <w:pPr>
              <w:tabs>
                <w:tab w:val="left" w:pos="2070"/>
              </w:tabs>
              <w:spacing w:line="276" w:lineRule="auto"/>
            </w:pPr>
            <w:r w:rsidRPr="00B131A5">
              <w:t xml:space="preserve"> </w:t>
            </w:r>
          </w:p>
        </w:tc>
      </w:tr>
      <w:tr w:rsidR="008918F7" w:rsidRPr="00B131A5" w:rsidTr="00110B63">
        <w:tc>
          <w:tcPr>
            <w:tcW w:w="5592" w:type="dxa"/>
            <w:gridSpan w:val="3"/>
            <w:tcBorders>
              <w:top w:val="nil"/>
              <w:left w:val="nil"/>
              <w:bottom w:val="nil"/>
              <w:right w:val="nil"/>
            </w:tcBorders>
          </w:tcPr>
          <w:p w:rsidR="008918F7" w:rsidRPr="00B131A5" w:rsidRDefault="008918F7" w:rsidP="00520616">
            <w:pPr>
              <w:tabs>
                <w:tab w:val="left" w:pos="2070"/>
              </w:tabs>
              <w:spacing w:line="276" w:lineRule="auto"/>
              <w:rPr>
                <w:bCs/>
              </w:rPr>
            </w:pPr>
          </w:p>
          <w:p w:rsidR="008918F7" w:rsidRPr="008918F7" w:rsidRDefault="008918F7" w:rsidP="008918F7">
            <w:pPr>
              <w:tabs>
                <w:tab w:val="left" w:pos="2070"/>
              </w:tabs>
              <w:spacing w:line="276" w:lineRule="auto"/>
              <w:rPr>
                <w:bCs/>
              </w:rPr>
            </w:pPr>
            <w:r>
              <w:rPr>
                <w:bCs/>
              </w:rPr>
              <w:t>5</w:t>
            </w:r>
            <w:r w:rsidRPr="00B131A5">
              <w:rPr>
                <w:bCs/>
              </w:rPr>
              <w:t>) Tax</w:t>
            </w:r>
            <w:r>
              <w:rPr>
                <w:bCs/>
              </w:rPr>
              <w:t xml:space="preserve"> free /</w:t>
            </w:r>
            <w:r w:rsidRPr="00B131A5">
              <w:rPr>
                <w:bCs/>
              </w:rPr>
              <w:t xml:space="preserve"> e.g., </w:t>
            </w:r>
            <w:r w:rsidRPr="002C65CA">
              <w:rPr>
                <w:bCs/>
              </w:rPr>
              <w:t>Roth IRA, Roth 401(k)</w:t>
            </w:r>
          </w:p>
        </w:tc>
        <w:tc>
          <w:tcPr>
            <w:tcW w:w="1176" w:type="dxa"/>
            <w:gridSpan w:val="2"/>
            <w:tcBorders>
              <w:top w:val="nil"/>
              <w:left w:val="nil"/>
              <w:bottom w:val="nil"/>
              <w:right w:val="nil"/>
            </w:tcBorders>
          </w:tcPr>
          <w:p w:rsidR="008918F7" w:rsidRPr="00B131A5" w:rsidRDefault="008918F7" w:rsidP="00520616">
            <w:pPr>
              <w:tabs>
                <w:tab w:val="left" w:pos="2070"/>
              </w:tabs>
              <w:spacing w:line="276" w:lineRule="auto"/>
              <w:jc w:val="center"/>
              <w:rPr>
                <w:bCs/>
              </w:rPr>
            </w:pPr>
          </w:p>
          <w:p w:rsidR="008918F7" w:rsidRPr="00B131A5" w:rsidRDefault="008918F7" w:rsidP="008918F7">
            <w:pPr>
              <w:tabs>
                <w:tab w:val="left" w:pos="2070"/>
              </w:tabs>
              <w:spacing w:line="276" w:lineRule="auto"/>
              <w:jc w:val="center"/>
              <w:rPr>
                <w:bCs/>
              </w:rPr>
            </w:pPr>
            <w:r w:rsidRPr="00B131A5">
              <w:t>None</w:t>
            </w:r>
            <w:r w:rsidRPr="00B131A5">
              <w:rPr>
                <w:bCs/>
              </w:rPr>
              <w:t xml:space="preserve"> </w:t>
            </w:r>
          </w:p>
        </w:tc>
        <w:tc>
          <w:tcPr>
            <w:tcW w:w="1440" w:type="dxa"/>
            <w:gridSpan w:val="2"/>
            <w:tcBorders>
              <w:top w:val="nil"/>
              <w:left w:val="nil"/>
              <w:bottom w:val="nil"/>
              <w:right w:val="nil"/>
            </w:tcBorders>
          </w:tcPr>
          <w:p w:rsidR="008918F7" w:rsidRPr="00B131A5" w:rsidRDefault="008918F7" w:rsidP="00520616">
            <w:pPr>
              <w:tabs>
                <w:tab w:val="left" w:pos="2070"/>
              </w:tabs>
              <w:spacing w:line="276" w:lineRule="auto"/>
              <w:rPr>
                <w:bCs/>
              </w:rPr>
            </w:pPr>
          </w:p>
          <w:p w:rsidR="008918F7" w:rsidRPr="00B131A5" w:rsidRDefault="008918F7" w:rsidP="00110B63">
            <w:pPr>
              <w:tabs>
                <w:tab w:val="left" w:pos="2070"/>
              </w:tabs>
              <w:spacing w:line="276" w:lineRule="auto"/>
              <w:jc w:val="center"/>
              <w:rPr>
                <w:bCs/>
              </w:rPr>
            </w:pPr>
            <w:r w:rsidRPr="00B131A5">
              <w:t>Never</w:t>
            </w:r>
          </w:p>
        </w:tc>
        <w:tc>
          <w:tcPr>
            <w:tcW w:w="1481" w:type="dxa"/>
            <w:tcBorders>
              <w:top w:val="nil"/>
              <w:left w:val="nil"/>
              <w:bottom w:val="nil"/>
              <w:right w:val="nil"/>
            </w:tcBorders>
          </w:tcPr>
          <w:p w:rsidR="008918F7" w:rsidRPr="00B131A5" w:rsidRDefault="008918F7" w:rsidP="00520616">
            <w:pPr>
              <w:tabs>
                <w:tab w:val="left" w:pos="2070"/>
              </w:tabs>
              <w:spacing w:line="276" w:lineRule="auto"/>
              <w:rPr>
                <w:bCs/>
              </w:rPr>
            </w:pPr>
          </w:p>
          <w:p w:rsidR="008918F7" w:rsidRPr="00B131A5" w:rsidRDefault="008918F7" w:rsidP="00110B63">
            <w:pPr>
              <w:tabs>
                <w:tab w:val="left" w:pos="2070"/>
              </w:tabs>
              <w:spacing w:line="276" w:lineRule="auto"/>
              <w:jc w:val="center"/>
              <w:rPr>
                <w:bCs/>
              </w:rPr>
            </w:pPr>
            <w:r w:rsidRPr="00B131A5">
              <w:rPr>
                <w:bCs/>
              </w:rPr>
              <w:t>No</w:t>
            </w:r>
          </w:p>
        </w:tc>
        <w:tc>
          <w:tcPr>
            <w:tcW w:w="3379" w:type="dxa"/>
            <w:gridSpan w:val="2"/>
            <w:tcBorders>
              <w:top w:val="nil"/>
              <w:left w:val="nil"/>
              <w:bottom w:val="nil"/>
              <w:right w:val="nil"/>
            </w:tcBorders>
          </w:tcPr>
          <w:p w:rsidR="008918F7" w:rsidRDefault="008918F7" w:rsidP="00520616">
            <w:pPr>
              <w:spacing w:line="276" w:lineRule="auto"/>
            </w:pPr>
          </w:p>
          <w:p w:rsidR="008918F7" w:rsidRPr="00B131A5" w:rsidRDefault="008918F7" w:rsidP="00110B63">
            <w:pPr>
              <w:spacing w:line="276" w:lineRule="auto"/>
            </w:pPr>
            <w:r w:rsidRPr="00B131A5">
              <w:t xml:space="preserve">=  </w:t>
            </w:r>
            <w:r w:rsidR="00110B63" w:rsidRPr="00B131A5">
              <w:rPr>
                <w:bCs/>
              </w:rPr>
              <w:t>AT$ [1 + R ]</w:t>
            </w:r>
            <w:r w:rsidR="00110B63" w:rsidRPr="00B131A5">
              <w:rPr>
                <w:bCs/>
                <w:vertAlign w:val="superscript"/>
              </w:rPr>
              <w:t xml:space="preserve">n  </w:t>
            </w:r>
          </w:p>
        </w:tc>
      </w:tr>
      <w:tr w:rsidR="00C05539" w:rsidRPr="00B131A5" w:rsidTr="00110B63">
        <w:trPr>
          <w:gridAfter w:val="1"/>
          <w:wAfter w:w="2448" w:type="dxa"/>
          <w:cantSplit/>
        </w:trPr>
        <w:tc>
          <w:tcPr>
            <w:tcW w:w="3250" w:type="dxa"/>
            <w:tcBorders>
              <w:top w:val="nil"/>
              <w:left w:val="nil"/>
              <w:bottom w:val="nil"/>
              <w:right w:val="nil"/>
            </w:tcBorders>
          </w:tcPr>
          <w:p w:rsidR="00C05539" w:rsidRPr="00B131A5" w:rsidRDefault="00C05539" w:rsidP="008918F7">
            <w:pPr>
              <w:pStyle w:val="NormalIndent"/>
              <w:tabs>
                <w:tab w:val="left" w:pos="2070"/>
              </w:tabs>
              <w:spacing w:line="276" w:lineRule="auto"/>
              <w:rPr>
                <w:rFonts w:ascii="Times New Roman" w:hAnsi="Times New Roman"/>
                <w:bCs/>
                <w:szCs w:val="24"/>
                <w:u w:val="single"/>
              </w:rPr>
            </w:pPr>
          </w:p>
        </w:tc>
        <w:tc>
          <w:tcPr>
            <w:tcW w:w="736" w:type="dxa"/>
            <w:tcBorders>
              <w:top w:val="nil"/>
              <w:left w:val="nil"/>
              <w:bottom w:val="nil"/>
              <w:right w:val="nil"/>
            </w:tcBorders>
          </w:tcPr>
          <w:p w:rsidR="00C05539" w:rsidRPr="00B131A5" w:rsidRDefault="00C05539" w:rsidP="00A80E0E">
            <w:pPr>
              <w:jc w:val="center"/>
            </w:pPr>
          </w:p>
        </w:tc>
        <w:tc>
          <w:tcPr>
            <w:tcW w:w="1789" w:type="dxa"/>
            <w:gridSpan w:val="2"/>
            <w:tcBorders>
              <w:top w:val="nil"/>
              <w:left w:val="nil"/>
              <w:bottom w:val="nil"/>
              <w:right w:val="nil"/>
            </w:tcBorders>
          </w:tcPr>
          <w:p w:rsidR="00C05539" w:rsidRPr="00B131A5" w:rsidRDefault="00C05539" w:rsidP="00535D72">
            <w:pPr>
              <w:spacing w:line="276" w:lineRule="auto"/>
              <w:jc w:val="center"/>
            </w:pPr>
          </w:p>
        </w:tc>
        <w:tc>
          <w:tcPr>
            <w:tcW w:w="1443" w:type="dxa"/>
            <w:gridSpan w:val="2"/>
            <w:tcBorders>
              <w:top w:val="nil"/>
              <w:left w:val="nil"/>
              <w:bottom w:val="nil"/>
              <w:right w:val="nil"/>
            </w:tcBorders>
          </w:tcPr>
          <w:p w:rsidR="00C05539" w:rsidRPr="00B131A5" w:rsidRDefault="00C05539" w:rsidP="00535D72">
            <w:pPr>
              <w:tabs>
                <w:tab w:val="left" w:pos="2070"/>
              </w:tabs>
              <w:spacing w:line="276" w:lineRule="auto"/>
              <w:jc w:val="center"/>
              <w:rPr>
                <w:bCs/>
              </w:rPr>
            </w:pPr>
          </w:p>
        </w:tc>
        <w:tc>
          <w:tcPr>
            <w:tcW w:w="3402" w:type="dxa"/>
            <w:gridSpan w:val="3"/>
            <w:tcBorders>
              <w:top w:val="nil"/>
              <w:left w:val="nil"/>
              <w:bottom w:val="nil"/>
              <w:right w:val="nil"/>
            </w:tcBorders>
          </w:tcPr>
          <w:p w:rsidR="00C05539" w:rsidRPr="00B131A5" w:rsidRDefault="00C05539" w:rsidP="00110B63">
            <w:pPr>
              <w:tabs>
                <w:tab w:val="left" w:pos="2070"/>
              </w:tabs>
              <w:spacing w:line="276" w:lineRule="auto"/>
              <w:rPr>
                <w:bCs/>
              </w:rPr>
            </w:pPr>
          </w:p>
        </w:tc>
      </w:tr>
    </w:tbl>
    <w:p w:rsidR="00C05539" w:rsidRDefault="00C05539" w:rsidP="00535D72">
      <w:pPr>
        <w:pStyle w:val="Header"/>
        <w:tabs>
          <w:tab w:val="clear" w:pos="4320"/>
          <w:tab w:val="clear" w:pos="8640"/>
        </w:tabs>
        <w:spacing w:line="276" w:lineRule="auto"/>
        <w:rPr>
          <w:bCs/>
        </w:rPr>
      </w:pPr>
    </w:p>
    <w:p w:rsidR="008918F7" w:rsidRDefault="008918F7" w:rsidP="0027184B">
      <w:pPr>
        <w:pStyle w:val="Header"/>
        <w:tabs>
          <w:tab w:val="clear" w:pos="4320"/>
          <w:tab w:val="clear" w:pos="8640"/>
        </w:tabs>
        <w:spacing w:line="480" w:lineRule="auto"/>
        <w:ind w:firstLine="720"/>
        <w:rPr>
          <w:bCs/>
        </w:rPr>
        <w:sectPr w:rsidR="008918F7" w:rsidSect="00372422">
          <w:endnotePr>
            <w:numFmt w:val="decimal"/>
          </w:endnotePr>
          <w:pgSz w:w="15840" w:h="12240" w:orient="landscape"/>
          <w:pgMar w:top="1440" w:right="1440" w:bottom="1440" w:left="1440" w:header="720" w:footer="720" w:gutter="0"/>
          <w:cols w:space="720"/>
          <w:docGrid w:linePitch="360"/>
        </w:sectPr>
      </w:pPr>
    </w:p>
    <w:p w:rsidR="00B131A5" w:rsidRPr="00B131A5" w:rsidRDefault="00B131A5" w:rsidP="0027184B">
      <w:pPr>
        <w:pStyle w:val="Header"/>
        <w:tabs>
          <w:tab w:val="clear" w:pos="4320"/>
          <w:tab w:val="clear" w:pos="8640"/>
        </w:tabs>
        <w:spacing w:line="480" w:lineRule="auto"/>
        <w:ind w:firstLine="720"/>
        <w:rPr>
          <w:bCs/>
        </w:rPr>
      </w:pPr>
      <w:proofErr w:type="gramStart"/>
      <w:r w:rsidRPr="00B131A5">
        <w:rPr>
          <w:bCs/>
        </w:rPr>
        <w:lastRenderedPageBreak/>
        <w:t>where</w:t>
      </w:r>
      <w:proofErr w:type="gramEnd"/>
      <w:r w:rsidRPr="00B131A5">
        <w:rPr>
          <w:bCs/>
        </w:rPr>
        <w:t>:</w:t>
      </w:r>
    </w:p>
    <w:p w:rsidR="00B131A5" w:rsidRPr="00B131A5" w:rsidRDefault="00B131A5" w:rsidP="0027184B">
      <w:pPr>
        <w:pStyle w:val="Header"/>
        <w:tabs>
          <w:tab w:val="clear" w:pos="4320"/>
          <w:tab w:val="clear" w:pos="8640"/>
        </w:tabs>
        <w:spacing w:line="480" w:lineRule="auto"/>
      </w:pPr>
      <w:r w:rsidRPr="00B131A5">
        <w:rPr>
          <w:color w:val="000000"/>
        </w:rPr>
        <w:t>AT</w:t>
      </w:r>
      <w:r>
        <w:rPr>
          <w:color w:val="000000"/>
        </w:rPr>
        <w:t>FV</w:t>
      </w:r>
      <w:r w:rsidRPr="00B131A5">
        <w:rPr>
          <w:color w:val="000000"/>
        </w:rPr>
        <w:t xml:space="preserve"> = After-tax </w:t>
      </w:r>
      <w:r w:rsidR="002D148E">
        <w:rPr>
          <w:color w:val="000000"/>
        </w:rPr>
        <w:t>f</w:t>
      </w:r>
      <w:r>
        <w:rPr>
          <w:color w:val="000000"/>
        </w:rPr>
        <w:t xml:space="preserve">uture </w:t>
      </w:r>
      <w:r w:rsidR="002D148E">
        <w:rPr>
          <w:color w:val="000000"/>
        </w:rPr>
        <w:t>v</w:t>
      </w:r>
      <w:r>
        <w:rPr>
          <w:color w:val="000000"/>
        </w:rPr>
        <w:t>alue</w:t>
      </w:r>
      <w:r w:rsidRPr="00B131A5">
        <w:rPr>
          <w:color w:val="000000"/>
        </w:rPr>
        <w:t xml:space="preserve"> </w:t>
      </w:r>
    </w:p>
    <w:p w:rsidR="00B131A5" w:rsidRPr="00B131A5" w:rsidRDefault="00B131A5" w:rsidP="0027184B">
      <w:pPr>
        <w:pStyle w:val="Header"/>
        <w:tabs>
          <w:tab w:val="clear" w:pos="4320"/>
          <w:tab w:val="clear" w:pos="8640"/>
        </w:tabs>
        <w:spacing w:line="480" w:lineRule="auto"/>
      </w:pPr>
      <w:r w:rsidRPr="00B131A5">
        <w:t>AT$ = After-tax dollars invested</w:t>
      </w:r>
    </w:p>
    <w:p w:rsidR="00B131A5" w:rsidRPr="00B131A5" w:rsidRDefault="00B131A5" w:rsidP="0027184B">
      <w:pPr>
        <w:pStyle w:val="Header"/>
        <w:tabs>
          <w:tab w:val="clear" w:pos="4320"/>
          <w:tab w:val="clear" w:pos="8640"/>
        </w:tabs>
        <w:spacing w:line="480" w:lineRule="auto"/>
      </w:pPr>
      <w:r w:rsidRPr="00B131A5">
        <w:t xml:space="preserve">R    = Before-tax rate of return </w:t>
      </w:r>
    </w:p>
    <w:p w:rsidR="00B131A5" w:rsidRPr="00B131A5" w:rsidRDefault="00B131A5" w:rsidP="0027184B">
      <w:pPr>
        <w:pStyle w:val="Header"/>
        <w:tabs>
          <w:tab w:val="clear" w:pos="4320"/>
          <w:tab w:val="clear" w:pos="8640"/>
        </w:tabs>
        <w:spacing w:line="480" w:lineRule="auto"/>
      </w:pPr>
      <w:r w:rsidRPr="00B131A5">
        <w:t xml:space="preserve">n     = Investment horizon (in years) (i.e., </w:t>
      </w:r>
      <w:r>
        <w:t>h</w:t>
      </w:r>
      <w:r w:rsidRPr="00B131A5">
        <w:t>olding period)</w:t>
      </w:r>
    </w:p>
    <w:p w:rsidR="002C65CA" w:rsidRDefault="002C65CA" w:rsidP="0027184B">
      <w:pPr>
        <w:pStyle w:val="Header"/>
        <w:tabs>
          <w:tab w:val="clear" w:pos="4320"/>
          <w:tab w:val="clear" w:pos="8640"/>
        </w:tabs>
        <w:spacing w:line="480" w:lineRule="auto"/>
      </w:pPr>
      <w:r w:rsidRPr="00B131A5">
        <w:t xml:space="preserve">t     </w:t>
      </w:r>
      <w:r>
        <w:t xml:space="preserve"> </w:t>
      </w:r>
      <w:r w:rsidRPr="00B131A5">
        <w:t xml:space="preserve">= </w:t>
      </w:r>
      <w:r w:rsidR="00D92DC2">
        <w:t>Marginal o</w:t>
      </w:r>
      <w:r>
        <w:t>rdinary</w:t>
      </w:r>
      <w:r w:rsidRPr="00B131A5">
        <w:t xml:space="preserve"> tax rate </w:t>
      </w:r>
      <w:r>
        <w:t>annually</w:t>
      </w:r>
    </w:p>
    <w:p w:rsidR="00B131A5" w:rsidRDefault="00B131A5" w:rsidP="0027184B">
      <w:pPr>
        <w:pStyle w:val="Header"/>
        <w:tabs>
          <w:tab w:val="clear" w:pos="4320"/>
          <w:tab w:val="clear" w:pos="8640"/>
        </w:tabs>
        <w:spacing w:line="480" w:lineRule="auto"/>
      </w:pPr>
      <w:r w:rsidRPr="00B131A5">
        <w:t>t</w:t>
      </w:r>
      <w:r>
        <w:rPr>
          <w:vertAlign w:val="subscript"/>
        </w:rPr>
        <w:t>0</w:t>
      </w:r>
      <w:r w:rsidRPr="00B131A5">
        <w:t xml:space="preserve">    = </w:t>
      </w:r>
      <w:r w:rsidR="00D92DC2">
        <w:t>Marginal o</w:t>
      </w:r>
      <w:r>
        <w:t>rdinary</w:t>
      </w:r>
      <w:r w:rsidRPr="00B131A5">
        <w:t xml:space="preserve"> tax rate </w:t>
      </w:r>
      <w:r>
        <w:t>today (year 0)</w:t>
      </w:r>
    </w:p>
    <w:p w:rsidR="00B131A5" w:rsidRPr="00B131A5" w:rsidRDefault="00B131A5" w:rsidP="0027184B">
      <w:pPr>
        <w:pStyle w:val="Header"/>
        <w:tabs>
          <w:tab w:val="clear" w:pos="4320"/>
          <w:tab w:val="clear" w:pos="8640"/>
        </w:tabs>
        <w:spacing w:line="480" w:lineRule="auto"/>
      </w:pPr>
      <w:proofErr w:type="gramStart"/>
      <w:r w:rsidRPr="00B131A5">
        <w:t>t</w:t>
      </w:r>
      <w:r>
        <w:rPr>
          <w:vertAlign w:val="subscript"/>
        </w:rPr>
        <w:t>n</w:t>
      </w:r>
      <w:proofErr w:type="gramEnd"/>
      <w:r w:rsidRPr="00B131A5">
        <w:t xml:space="preserve">    = </w:t>
      </w:r>
      <w:r w:rsidR="00D92DC2">
        <w:t>Marginal o</w:t>
      </w:r>
      <w:r>
        <w:t>rdinary</w:t>
      </w:r>
      <w:r w:rsidRPr="00B131A5">
        <w:t xml:space="preserve"> tax rate at end of investment </w:t>
      </w:r>
      <w:r w:rsidR="002C65CA">
        <w:t xml:space="preserve">horizon </w:t>
      </w:r>
      <w:r w:rsidRPr="00B131A5">
        <w:t>(</w:t>
      </w:r>
      <w:r>
        <w:t>y</w:t>
      </w:r>
      <w:r w:rsidRPr="00B131A5">
        <w:t>ear n).</w:t>
      </w:r>
    </w:p>
    <w:p w:rsidR="002C65CA" w:rsidRPr="00B131A5" w:rsidRDefault="002C65CA" w:rsidP="0027184B">
      <w:pPr>
        <w:tabs>
          <w:tab w:val="left" w:pos="2070"/>
        </w:tabs>
        <w:spacing w:line="480" w:lineRule="auto"/>
        <w:ind w:left="2070" w:hanging="2070"/>
      </w:pPr>
      <w:r w:rsidRPr="00B131A5">
        <w:t xml:space="preserve">g  </w:t>
      </w:r>
      <w:r>
        <w:t xml:space="preserve">  </w:t>
      </w:r>
      <w:r w:rsidRPr="00B131A5">
        <w:t xml:space="preserve">= </w:t>
      </w:r>
      <w:r w:rsidR="00D92DC2">
        <w:t>Marginal f</w:t>
      </w:r>
      <w:r w:rsidR="00212149">
        <w:t>avorable</w:t>
      </w:r>
      <w:r w:rsidRPr="00B131A5">
        <w:t xml:space="preserve"> tax rate </w:t>
      </w:r>
      <w:r>
        <w:t>annually</w:t>
      </w:r>
    </w:p>
    <w:p w:rsidR="00B131A5" w:rsidRPr="00B131A5" w:rsidRDefault="00B131A5" w:rsidP="0027184B">
      <w:pPr>
        <w:tabs>
          <w:tab w:val="left" w:pos="2070"/>
        </w:tabs>
        <w:spacing w:line="480" w:lineRule="auto"/>
        <w:ind w:left="2070" w:hanging="2070"/>
      </w:pPr>
      <w:proofErr w:type="spellStart"/>
      <w:proofErr w:type="gramStart"/>
      <w:r w:rsidRPr="00B131A5">
        <w:t>g</w:t>
      </w:r>
      <w:r w:rsidRPr="00B131A5">
        <w:rPr>
          <w:vertAlign w:val="subscript"/>
        </w:rPr>
        <w:t>n</w:t>
      </w:r>
      <w:proofErr w:type="spellEnd"/>
      <w:proofErr w:type="gramEnd"/>
      <w:r w:rsidRPr="00B131A5">
        <w:t xml:space="preserve">  </w:t>
      </w:r>
      <w:r w:rsidR="00F14CC0">
        <w:t xml:space="preserve"> </w:t>
      </w:r>
      <w:r w:rsidRPr="00B131A5">
        <w:t xml:space="preserve">= </w:t>
      </w:r>
      <w:r w:rsidR="00D92DC2">
        <w:t>Marginal f</w:t>
      </w:r>
      <w:r w:rsidR="00212149">
        <w:t xml:space="preserve">avorable </w:t>
      </w:r>
      <w:r w:rsidRPr="00B131A5">
        <w:t xml:space="preserve">tax rate at end of investment </w:t>
      </w:r>
      <w:r w:rsidR="00A96B9C">
        <w:t xml:space="preserve">horizon </w:t>
      </w:r>
      <w:r w:rsidRPr="00B131A5">
        <w:t>(</w:t>
      </w:r>
      <w:r>
        <w:t>y</w:t>
      </w:r>
      <w:r w:rsidRPr="00B131A5">
        <w:t>ear n).</w:t>
      </w:r>
    </w:p>
    <w:p w:rsidR="00B131A5" w:rsidRDefault="00B131A5" w:rsidP="0027184B">
      <w:pPr>
        <w:spacing w:line="480" w:lineRule="auto"/>
      </w:pPr>
    </w:p>
    <w:p w:rsidR="00456418" w:rsidRPr="00456418" w:rsidRDefault="0011340A" w:rsidP="0027184B">
      <w:pPr>
        <w:spacing w:line="480" w:lineRule="auto"/>
        <w:ind w:firstLine="720"/>
      </w:pPr>
      <w:r>
        <w:t>Comparing the</w:t>
      </w:r>
      <w:r w:rsidR="00456418">
        <w:t xml:space="preserve"> Roth </w:t>
      </w:r>
      <w:r>
        <w:t xml:space="preserve">retirement account (model </w:t>
      </w:r>
      <w:r w:rsidR="002C65CA">
        <w:t>5</w:t>
      </w:r>
      <w:r>
        <w:t xml:space="preserve">) </w:t>
      </w:r>
      <w:r w:rsidR="00456418">
        <w:t xml:space="preserve">and </w:t>
      </w:r>
      <w:r>
        <w:t xml:space="preserve">the </w:t>
      </w:r>
      <w:r w:rsidR="00A96B9C">
        <w:t xml:space="preserve">tax-deferred </w:t>
      </w:r>
      <w:r w:rsidR="00456418">
        <w:t>retirement account</w:t>
      </w:r>
      <w:r>
        <w:t xml:space="preserve"> (model 4), these two formulas </w:t>
      </w:r>
      <w:r w:rsidR="00456418">
        <w:t>are equal when t</w:t>
      </w:r>
      <w:r w:rsidR="00456418">
        <w:rPr>
          <w:vertAlign w:val="subscript"/>
        </w:rPr>
        <w:t>0</w:t>
      </w:r>
      <w:r w:rsidR="00456418">
        <w:t xml:space="preserve"> = </w:t>
      </w:r>
      <w:proofErr w:type="gramStart"/>
      <w:r w:rsidR="00456418">
        <w:t>t</w:t>
      </w:r>
      <w:r w:rsidR="00456418">
        <w:rPr>
          <w:vertAlign w:val="subscript"/>
        </w:rPr>
        <w:t>n</w:t>
      </w:r>
      <w:proofErr w:type="gramEnd"/>
      <w:r w:rsidR="00761402">
        <w:t xml:space="preserve"> and the </w:t>
      </w:r>
      <w:r w:rsidR="00F33A5E">
        <w:t>after</w:t>
      </w:r>
      <w:r w:rsidR="00761402">
        <w:t>-tax amount put into both is the same.</w:t>
      </w:r>
      <w:r w:rsidR="002C65CA">
        <w:t xml:space="preserve"> </w:t>
      </w:r>
      <w:r w:rsidR="00613A48">
        <w:t xml:space="preserve">For now, </w:t>
      </w:r>
      <w:r w:rsidR="008F3F14">
        <w:t xml:space="preserve">it is </w:t>
      </w:r>
      <w:r w:rsidR="00613A48">
        <w:t>assume</w:t>
      </w:r>
      <w:r w:rsidR="008F3F14">
        <w:t>d that</w:t>
      </w:r>
      <w:r w:rsidR="00613A48">
        <w:t xml:space="preserve"> this is the case. </w:t>
      </w:r>
      <w:r w:rsidR="00A96B9C">
        <w:t xml:space="preserve">Later in the article, this </w:t>
      </w:r>
      <w:r w:rsidR="002C65CA">
        <w:t xml:space="preserve">assumption that </w:t>
      </w:r>
      <w:r w:rsidR="00613A48">
        <w:t>make</w:t>
      </w:r>
      <w:r w:rsidR="00A96B9C">
        <w:t>s</w:t>
      </w:r>
      <w:r w:rsidR="00613A48">
        <w:t xml:space="preserve"> these two retirement accounts </w:t>
      </w:r>
      <w:r w:rsidR="002C65CA">
        <w:t xml:space="preserve">equal </w:t>
      </w:r>
      <w:r w:rsidR="00A96B9C">
        <w:t xml:space="preserve">will be </w:t>
      </w:r>
      <w:r w:rsidR="00A80E0E">
        <w:t>changed</w:t>
      </w:r>
      <w:r w:rsidR="00A96B9C">
        <w:t>.</w:t>
      </w:r>
    </w:p>
    <w:p w:rsidR="00D31D85" w:rsidRDefault="00D31D85" w:rsidP="0027184B">
      <w:pPr>
        <w:spacing w:line="480" w:lineRule="auto"/>
      </w:pPr>
    </w:p>
    <w:p w:rsidR="00546327" w:rsidRPr="00951A49" w:rsidRDefault="00546327" w:rsidP="0027184B">
      <w:pPr>
        <w:spacing w:line="480" w:lineRule="auto"/>
        <w:rPr>
          <w:b/>
        </w:rPr>
      </w:pPr>
      <w:r>
        <w:rPr>
          <w:b/>
        </w:rPr>
        <w:t xml:space="preserve">What Rates of Return </w:t>
      </w:r>
      <w:r w:rsidR="002D148E">
        <w:rPr>
          <w:b/>
        </w:rPr>
        <w:t xml:space="preserve">Should Be </w:t>
      </w:r>
      <w:r>
        <w:rPr>
          <w:b/>
        </w:rPr>
        <w:t>Use</w:t>
      </w:r>
      <w:r w:rsidR="002D148E">
        <w:rPr>
          <w:b/>
        </w:rPr>
        <w:t>d</w:t>
      </w:r>
      <w:r>
        <w:rPr>
          <w:b/>
        </w:rPr>
        <w:t xml:space="preserve"> in Comparisons?</w:t>
      </w:r>
    </w:p>
    <w:p w:rsidR="00546327" w:rsidRDefault="00546327" w:rsidP="0027184B">
      <w:pPr>
        <w:spacing w:line="480" w:lineRule="auto"/>
      </w:pPr>
    </w:p>
    <w:p w:rsidR="00546327" w:rsidRPr="00546327" w:rsidRDefault="00546327" w:rsidP="0027184B">
      <w:pPr>
        <w:spacing w:line="480" w:lineRule="auto"/>
        <w:ind w:firstLine="720"/>
      </w:pPr>
      <w:r>
        <w:t>Ibbotson (</w:t>
      </w:r>
      <w:r w:rsidR="00BA6014">
        <w:t xml:space="preserve">Morningstar, </w:t>
      </w:r>
      <w:r>
        <w:t>2015) lists the returns on large-cap stocks</w:t>
      </w:r>
      <w:r w:rsidR="00EC34F1">
        <w:t>, long-term corporate bonds,</w:t>
      </w:r>
      <w:r>
        <w:t xml:space="preserve"> and long-term (federal) government bonds. The 2015 </w:t>
      </w:r>
      <w:r w:rsidRPr="00A9669A">
        <w:rPr>
          <w:i/>
        </w:rPr>
        <w:t>Yearbook</w:t>
      </w:r>
      <w:r>
        <w:t xml:space="preserve"> shows that for the period </w:t>
      </w:r>
      <w:r w:rsidR="00F14CC0">
        <w:t xml:space="preserve">from </w:t>
      </w:r>
      <w:r>
        <w:t>January 1, 1926 through December 31, 2014</w:t>
      </w:r>
      <w:r w:rsidR="0069655D">
        <w:t>,</w:t>
      </w:r>
      <w:r>
        <w:t xml:space="preserve"> the geometric mean</w:t>
      </w:r>
      <w:r w:rsidR="00890D89">
        <w:t>s</w:t>
      </w:r>
      <w:r>
        <w:t xml:space="preserve"> of the annualized returns were 10.1%</w:t>
      </w:r>
      <w:r w:rsidR="00EC34F1">
        <w:t xml:space="preserve">, 6.1%, </w:t>
      </w:r>
      <w:r>
        <w:t>and 5.7%, respectively.</w:t>
      </w:r>
      <w:r w:rsidR="00EC34F1">
        <w:rPr>
          <w:rStyle w:val="EndnoteReference"/>
        </w:rPr>
        <w:endnoteReference w:id="6"/>
      </w:r>
      <w:r w:rsidR="00EC34F1">
        <w:t xml:space="preserve"> </w:t>
      </w:r>
      <w:r>
        <w:t>I</w:t>
      </w:r>
      <w:r w:rsidR="005832D3">
        <w:t xml:space="preserve">bbotson </w:t>
      </w:r>
      <w:r>
        <w:t>also list</w:t>
      </w:r>
      <w:r w:rsidR="005832D3">
        <w:t>s</w:t>
      </w:r>
      <w:r>
        <w:t xml:space="preserve"> inflation</w:t>
      </w:r>
      <w:r w:rsidR="002D148E">
        <w:t>,</w:t>
      </w:r>
      <w:r>
        <w:t xml:space="preserve"> and for the same period the geometric mean of the annualized rate is 2.9%. Given that inflation </w:t>
      </w:r>
      <w:r w:rsidR="00EC34F1">
        <w:t xml:space="preserve">has </w:t>
      </w:r>
      <w:r>
        <w:t xml:space="preserve">averaged </w:t>
      </w:r>
      <w:r w:rsidR="00EC34F1">
        <w:t xml:space="preserve">only </w:t>
      </w:r>
      <w:r>
        <w:t xml:space="preserve">1.5% </w:t>
      </w:r>
      <w:r w:rsidR="00EC34F1">
        <w:lastRenderedPageBreak/>
        <w:t xml:space="preserve">in recent years (i.e., </w:t>
      </w:r>
      <w:r>
        <w:t>from the beginning of 2012 to the end of 2014</w:t>
      </w:r>
      <w:r w:rsidR="00EC34F1">
        <w:t>)</w:t>
      </w:r>
      <w:r w:rsidR="00FA2987">
        <w:t xml:space="preserve"> according to the </w:t>
      </w:r>
      <w:r w:rsidR="00FA2987" w:rsidRPr="00A9669A">
        <w:rPr>
          <w:i/>
        </w:rPr>
        <w:t>Yearbook</w:t>
      </w:r>
      <w:r>
        <w:t xml:space="preserve">, it is appropriate to reduce the annualized returns on the stocks and bonds from their historical averages—which includes inflation. </w:t>
      </w:r>
      <w:r w:rsidR="005832D3">
        <w:t xml:space="preserve">In the comparisons that follow 8% </w:t>
      </w:r>
      <w:r w:rsidR="00B143A3">
        <w:t xml:space="preserve">is used </w:t>
      </w:r>
      <w:r w:rsidR="005832D3">
        <w:t xml:space="preserve">as the expected return on stocks and 4% </w:t>
      </w:r>
      <w:r w:rsidR="00B143A3">
        <w:t xml:space="preserve">is used </w:t>
      </w:r>
      <w:r w:rsidR="005832D3">
        <w:t xml:space="preserve">as the expected return on </w:t>
      </w:r>
      <w:r w:rsidR="00E94566">
        <w:t xml:space="preserve">“taxable” </w:t>
      </w:r>
      <w:r w:rsidR="005832D3">
        <w:t xml:space="preserve">bonds. </w:t>
      </w:r>
    </w:p>
    <w:p w:rsidR="00546327" w:rsidRPr="00951A49" w:rsidRDefault="00546327" w:rsidP="0027184B">
      <w:pPr>
        <w:spacing w:line="480" w:lineRule="auto"/>
      </w:pPr>
    </w:p>
    <w:p w:rsidR="00F66F89" w:rsidRPr="00F66F89" w:rsidRDefault="00203A17" w:rsidP="0027184B">
      <w:pPr>
        <w:spacing w:line="480" w:lineRule="auto"/>
        <w:rPr>
          <w:b/>
        </w:rPr>
      </w:pPr>
      <w:r w:rsidRPr="00F66F89">
        <w:rPr>
          <w:b/>
        </w:rPr>
        <w:t>Assumptions</w:t>
      </w:r>
      <w:r w:rsidR="00F66F89" w:rsidRPr="00F66F89">
        <w:rPr>
          <w:b/>
        </w:rPr>
        <w:t xml:space="preserve"> and Comparisons</w:t>
      </w:r>
    </w:p>
    <w:p w:rsidR="00F66F89" w:rsidRDefault="00F66F89" w:rsidP="0027184B">
      <w:pPr>
        <w:spacing w:line="480" w:lineRule="auto"/>
      </w:pPr>
    </w:p>
    <w:p w:rsidR="00F55ACA" w:rsidRDefault="00402A6D" w:rsidP="0027184B">
      <w:pPr>
        <w:spacing w:line="480" w:lineRule="auto"/>
        <w:ind w:firstLine="720"/>
        <w:sectPr w:rsidR="00F55ACA" w:rsidSect="00372422">
          <w:endnotePr>
            <w:numFmt w:val="decimal"/>
          </w:endnotePr>
          <w:pgSz w:w="12240" w:h="15840"/>
          <w:pgMar w:top="1440" w:right="1440" w:bottom="1440" w:left="1440" w:header="720" w:footer="720" w:gutter="0"/>
          <w:cols w:space="720"/>
          <w:docGrid w:linePitch="360"/>
        </w:sectPr>
      </w:pPr>
      <w:r>
        <w:t xml:space="preserve">It is assumed that </w:t>
      </w:r>
      <w:r w:rsidR="00A1062C">
        <w:t xml:space="preserve">it is the start of the year and </w:t>
      </w:r>
      <w:r w:rsidR="00F66F89">
        <w:t>an e</w:t>
      </w:r>
      <w:r w:rsidR="0019237F">
        <w:t>mployee</w:t>
      </w:r>
      <w:r w:rsidR="00214E27">
        <w:t xml:space="preserve"> </w:t>
      </w:r>
      <w:r w:rsidR="00D92DC2">
        <w:t xml:space="preserve">who has reached age 50 </w:t>
      </w:r>
      <w:r w:rsidR="00214E27">
        <w:t xml:space="preserve">will invest $50,000 of </w:t>
      </w:r>
      <w:r w:rsidR="00D14275">
        <w:t>the employee’s</w:t>
      </w:r>
      <w:r w:rsidR="00214E27">
        <w:t xml:space="preserve"> pretax salary. </w:t>
      </w:r>
      <w:r w:rsidR="00F66F89">
        <w:t xml:space="preserve">For simplicity, </w:t>
      </w:r>
      <w:r w:rsidR="00214E27">
        <w:t xml:space="preserve">$25,000 is </w:t>
      </w:r>
      <w:r>
        <w:t xml:space="preserve">assumed to be </w:t>
      </w:r>
      <w:r w:rsidR="00214E27">
        <w:t xml:space="preserve">the maximum </w:t>
      </w:r>
      <w:r w:rsidR="00F33A5E">
        <w:t>pretax amoun</w:t>
      </w:r>
      <w:r w:rsidR="00214E27">
        <w:t xml:space="preserve">t </w:t>
      </w:r>
      <w:r w:rsidR="00F33A5E">
        <w:t xml:space="preserve">that </w:t>
      </w:r>
      <w:r w:rsidR="00214E27">
        <w:t xml:space="preserve">can be contributed to </w:t>
      </w:r>
      <w:r w:rsidR="00F9095A">
        <w:t>the employee’s</w:t>
      </w:r>
      <w:r w:rsidR="00214E27">
        <w:t xml:space="preserve"> 401(k).</w:t>
      </w:r>
      <w:r w:rsidR="00D92DC2">
        <w:rPr>
          <w:rStyle w:val="EndnoteReference"/>
        </w:rPr>
        <w:endnoteReference w:id="7"/>
      </w:r>
      <w:r w:rsidR="00214E27">
        <w:t xml:space="preserve"> The remaining after-tax salary must be </w:t>
      </w:r>
      <w:r w:rsidR="00761402">
        <w:t xml:space="preserve">invested </w:t>
      </w:r>
      <w:r w:rsidR="00214E27">
        <w:t xml:space="preserve">outside </w:t>
      </w:r>
      <w:r w:rsidR="00F33A5E">
        <w:t>the 401(k)</w:t>
      </w:r>
      <w:r w:rsidR="00761402">
        <w:t xml:space="preserve">. </w:t>
      </w:r>
      <w:r>
        <w:t>F</w:t>
      </w:r>
      <w:r w:rsidR="00A1062C">
        <w:t>or simplicity</w:t>
      </w:r>
      <w:r>
        <w:t>, it is also assumed</w:t>
      </w:r>
      <w:r w:rsidR="00A1062C">
        <w:t xml:space="preserve"> that the investments will be made on the first day of the year. </w:t>
      </w:r>
      <w:r w:rsidR="00115FC8">
        <w:t>Given the tax law, w</w:t>
      </w:r>
      <w:r w:rsidR="00761402">
        <w:t>h</w:t>
      </w:r>
      <w:r w:rsidR="00115FC8">
        <w:t xml:space="preserve">ich location </w:t>
      </w:r>
      <w:r w:rsidR="00761402">
        <w:t xml:space="preserve">to hold </w:t>
      </w:r>
      <w:r w:rsidR="00115FC8">
        <w:t xml:space="preserve">each </w:t>
      </w:r>
      <w:r w:rsidR="00761402">
        <w:t xml:space="preserve">asset is </w:t>
      </w:r>
      <w:r w:rsidR="00E51A17">
        <w:t xml:space="preserve">important, but </w:t>
      </w:r>
      <w:r w:rsidR="00F9095A">
        <w:t xml:space="preserve">it </w:t>
      </w:r>
      <w:r w:rsidR="00E51A17">
        <w:t>is not the only important criteri</w:t>
      </w:r>
      <w:r w:rsidR="00F9095A">
        <w:t>on</w:t>
      </w:r>
      <w:r w:rsidR="00D31D85">
        <w:t xml:space="preserve"> to determine the proper place to hold an </w:t>
      </w:r>
      <w:r w:rsidR="00F66F89">
        <w:t>investment</w:t>
      </w:r>
      <w:r w:rsidR="00D31D85">
        <w:t xml:space="preserve">.  Another important piece of information is the expected return on the </w:t>
      </w:r>
      <w:r w:rsidR="00F66F89">
        <w:t>investment</w:t>
      </w:r>
      <w:r w:rsidR="00D31D85">
        <w:t xml:space="preserve">. For example, </w:t>
      </w:r>
      <w:r w:rsidR="00A1062C">
        <w:t>the employee</w:t>
      </w:r>
      <w:r w:rsidR="00D31D85">
        <w:t xml:space="preserve"> could invest $25,000 </w:t>
      </w:r>
      <w:r w:rsidR="00761402">
        <w:t xml:space="preserve">of pretax salary </w:t>
      </w:r>
      <w:r w:rsidR="00D31D85">
        <w:t xml:space="preserve">in a qualified </w:t>
      </w:r>
      <w:r w:rsidR="00761402">
        <w:t xml:space="preserve">tax-deferred </w:t>
      </w:r>
      <w:r w:rsidR="00D31D85">
        <w:t xml:space="preserve">account </w:t>
      </w:r>
      <w:r w:rsidR="00115FC8">
        <w:t xml:space="preserve">(TDA) like a </w:t>
      </w:r>
      <w:r w:rsidR="00761402">
        <w:t xml:space="preserve">401(k) </w:t>
      </w:r>
      <w:r w:rsidR="00D31D85">
        <w:t xml:space="preserve">and $25,000 </w:t>
      </w:r>
      <w:r w:rsidR="00761402">
        <w:t xml:space="preserve">of pretax salary </w:t>
      </w:r>
      <w:r w:rsidR="00D31D85">
        <w:t xml:space="preserve">outside a qualified </w:t>
      </w:r>
      <w:r w:rsidR="00115FC8">
        <w:t xml:space="preserve">retirement </w:t>
      </w:r>
      <w:r w:rsidR="00D31D85">
        <w:t xml:space="preserve">account </w:t>
      </w:r>
      <w:r w:rsidR="00014E03">
        <w:t>(i.e., out</w:t>
      </w:r>
      <w:r w:rsidR="00D14275">
        <w:t>side</w:t>
      </w:r>
      <w:r w:rsidR="00014E03">
        <w:t xml:space="preserve"> in a taxable account) </w:t>
      </w:r>
      <w:r w:rsidR="00D31D85">
        <w:t>this year</w:t>
      </w:r>
      <w:r w:rsidR="00996FBF">
        <w:t xml:space="preserve">. </w:t>
      </w:r>
      <w:r w:rsidR="00D14275">
        <w:t xml:space="preserve">In this example, </w:t>
      </w:r>
      <w:r w:rsidR="00A1062C">
        <w:t>the employee</w:t>
      </w:r>
      <w:r w:rsidR="00D31D85">
        <w:t xml:space="preserve"> cho</w:t>
      </w:r>
      <w:r w:rsidR="00A1062C">
        <w:t>o</w:t>
      </w:r>
      <w:r w:rsidR="00D31D85">
        <w:t>se</w:t>
      </w:r>
      <w:r w:rsidR="00A1062C">
        <w:t>s</w:t>
      </w:r>
      <w:r w:rsidR="00D31D85">
        <w:t xml:space="preserve"> to invest $25,000 in </w:t>
      </w:r>
      <w:r w:rsidR="007B6429">
        <w:t>taxable</w:t>
      </w:r>
      <w:r w:rsidR="00D31D85">
        <w:t xml:space="preserve"> bonds </w:t>
      </w:r>
      <w:r w:rsidR="00676BFB">
        <w:t>with a return of 4</w:t>
      </w:r>
      <w:r w:rsidR="00D31D85">
        <w:t xml:space="preserve">.0% </w:t>
      </w:r>
      <w:r w:rsidR="00115FC8">
        <w:t xml:space="preserve">inside a TDA </w:t>
      </w:r>
      <w:r w:rsidR="00D31D85">
        <w:t>and $</w:t>
      </w:r>
      <w:r w:rsidR="00761402">
        <w:t>18,75</w:t>
      </w:r>
      <w:r w:rsidR="00D31D85">
        <w:t xml:space="preserve">0 </w:t>
      </w:r>
      <w:r w:rsidR="00F66F89">
        <w:t xml:space="preserve">(after-tax salary assuming a 25% tax rate) </w:t>
      </w:r>
      <w:r w:rsidR="00D31D85">
        <w:t xml:space="preserve">in </w:t>
      </w:r>
      <w:r w:rsidR="00676BFB">
        <w:t>a mutual fund of stocks (</w:t>
      </w:r>
      <w:r w:rsidR="00A1062C">
        <w:t xml:space="preserve">i.e., </w:t>
      </w:r>
      <w:r w:rsidR="00676BFB">
        <w:t xml:space="preserve">a hybrid of </w:t>
      </w:r>
      <w:r w:rsidR="00F66F89">
        <w:t>model</w:t>
      </w:r>
      <w:r w:rsidR="00676BFB">
        <w:t>s</w:t>
      </w:r>
      <w:r w:rsidR="00F66F89">
        <w:t xml:space="preserve"> </w:t>
      </w:r>
      <w:r w:rsidR="00676BFB">
        <w:t xml:space="preserve">2 and </w:t>
      </w:r>
      <w:r w:rsidR="00F66F89">
        <w:t xml:space="preserve">3) </w:t>
      </w:r>
      <w:r w:rsidR="00D31D85">
        <w:t>with a</w:t>
      </w:r>
      <w:r w:rsidR="00676BFB">
        <w:t xml:space="preserve"> return </w:t>
      </w:r>
      <w:r w:rsidR="00D31D85">
        <w:t xml:space="preserve">of </w:t>
      </w:r>
      <w:r w:rsidR="00676BFB">
        <w:t>8</w:t>
      </w:r>
      <w:r w:rsidR="00D31D85">
        <w:t xml:space="preserve">% </w:t>
      </w:r>
      <w:r w:rsidR="00676BFB">
        <w:t xml:space="preserve">of which </w:t>
      </w:r>
      <w:r w:rsidR="00527AA1">
        <w:t xml:space="preserve">one-quarter </w:t>
      </w:r>
      <w:r w:rsidR="00D31D85">
        <w:t xml:space="preserve">(i.e., </w:t>
      </w:r>
      <w:r w:rsidR="00676BFB">
        <w:t xml:space="preserve">2%) is annual dividends and </w:t>
      </w:r>
      <w:r w:rsidR="00527AA1">
        <w:t xml:space="preserve">three-quarters </w:t>
      </w:r>
      <w:r w:rsidR="00676BFB">
        <w:t xml:space="preserve">(i.e., 6%) is </w:t>
      </w:r>
      <w:r w:rsidR="00D31D85">
        <w:t>annual appreciation</w:t>
      </w:r>
      <w:r w:rsidR="00676BFB">
        <w:t>.</w:t>
      </w:r>
      <w:r w:rsidR="00294584">
        <w:rPr>
          <w:rStyle w:val="EndnoteReference"/>
        </w:rPr>
        <w:endnoteReference w:id="8"/>
      </w:r>
      <w:r w:rsidR="00676BFB">
        <w:t xml:space="preserve"> </w:t>
      </w:r>
      <w:r w:rsidR="00F66F89">
        <w:t>T</w:t>
      </w:r>
      <w:r w:rsidR="00D31D85">
        <w:t xml:space="preserve">he </w:t>
      </w:r>
      <w:r w:rsidR="0019237F">
        <w:t xml:space="preserve">approach focusing only on the </w:t>
      </w:r>
      <w:r w:rsidR="00D31D85">
        <w:t xml:space="preserve">tax law would say to hold the </w:t>
      </w:r>
      <w:r w:rsidR="007B6429">
        <w:t>low</w:t>
      </w:r>
      <w:r w:rsidR="00A1062C">
        <w:t>er</w:t>
      </w:r>
      <w:r w:rsidR="00527AA1">
        <w:t>-</w:t>
      </w:r>
      <w:r w:rsidR="007B6429">
        <w:t>yielding taxable bonds</w:t>
      </w:r>
      <w:r w:rsidR="00D31D85">
        <w:t xml:space="preserve"> in the retirement account </w:t>
      </w:r>
      <w:r w:rsidR="00527AA1">
        <w:t xml:space="preserve">because </w:t>
      </w:r>
      <w:r w:rsidR="00D31D85">
        <w:t xml:space="preserve">they yield ordinary income </w:t>
      </w:r>
      <w:r w:rsidR="00CF3A8A">
        <w:t xml:space="preserve">that gets taxed at the higher ordinary rates and </w:t>
      </w:r>
      <w:r w:rsidR="006C177D">
        <w:t xml:space="preserve">to </w:t>
      </w:r>
      <w:r w:rsidR="00CF3A8A">
        <w:t>h</w:t>
      </w:r>
      <w:r w:rsidR="00D31D85">
        <w:t xml:space="preserve">old the stocks outside </w:t>
      </w:r>
      <w:r w:rsidR="00A80E0E">
        <w:t xml:space="preserve">in a taxable account </w:t>
      </w:r>
      <w:r w:rsidR="00D31D85">
        <w:t xml:space="preserve">because they </w:t>
      </w:r>
      <w:r w:rsidR="0011340A">
        <w:lastRenderedPageBreak/>
        <w:t>are tax</w:t>
      </w:r>
      <w:r w:rsidR="007B6429">
        <w:t>ed favorably.</w:t>
      </w:r>
      <w:r w:rsidR="00E51A17">
        <w:t xml:space="preserve"> </w:t>
      </w:r>
      <w:r w:rsidR="007B6429">
        <w:t xml:space="preserve">The </w:t>
      </w:r>
      <w:r w:rsidR="0011340A">
        <w:t>after-tax future values (ATFVs)</w:t>
      </w:r>
      <w:r w:rsidR="00761402">
        <w:t xml:space="preserve"> </w:t>
      </w:r>
      <w:r w:rsidR="007B6429">
        <w:t xml:space="preserve">in the </w:t>
      </w:r>
      <w:r w:rsidR="004422B3">
        <w:t>scenario</w:t>
      </w:r>
      <w:r w:rsidR="007B6429">
        <w:t xml:space="preserve">s </w:t>
      </w:r>
      <w:r w:rsidR="00DC2D93">
        <w:t xml:space="preserve">(i.e., comparisons) </w:t>
      </w:r>
      <w:r w:rsidR="007B6429">
        <w:t xml:space="preserve">that follow </w:t>
      </w:r>
      <w:r w:rsidR="00E51A17">
        <w:t>show th</w:t>
      </w:r>
      <w:r w:rsidR="007B6429">
        <w:t>is</w:t>
      </w:r>
      <w:r w:rsidR="00E51A17">
        <w:t xml:space="preserve"> is the wrong conclusion.</w:t>
      </w:r>
      <w:r w:rsidR="00761402">
        <w:t xml:space="preserve"> </w:t>
      </w:r>
      <w:r w:rsidR="007B6429">
        <w:t xml:space="preserve">In </w:t>
      </w:r>
      <w:r w:rsidR="004422B3">
        <w:t>scenario</w:t>
      </w:r>
      <w:r w:rsidR="00761402">
        <w:t xml:space="preserve"> 1</w:t>
      </w:r>
      <w:r w:rsidR="00676BFB">
        <w:t xml:space="preserve"> </w:t>
      </w:r>
      <w:r w:rsidR="0019237F">
        <w:t>which</w:t>
      </w:r>
      <w:r w:rsidR="00761402">
        <w:t xml:space="preserve"> </w:t>
      </w:r>
      <w:r w:rsidR="0019237F">
        <w:t>follow</w:t>
      </w:r>
      <w:r w:rsidR="00676BFB">
        <w:t>s</w:t>
      </w:r>
      <w:r w:rsidR="0019237F">
        <w:t xml:space="preserve">, </w:t>
      </w:r>
      <w:r w:rsidR="00E51A17">
        <w:t xml:space="preserve">the individual </w:t>
      </w:r>
      <w:r w:rsidR="00676BFB">
        <w:t>is assumed to have a</w:t>
      </w:r>
      <w:r w:rsidR="00F4204E">
        <w:t xml:space="preserve"> marginal</w:t>
      </w:r>
      <w:r w:rsidR="00676BFB">
        <w:t xml:space="preserve"> </w:t>
      </w:r>
      <w:r w:rsidR="00761402">
        <w:t xml:space="preserve">ordinary </w:t>
      </w:r>
      <w:r w:rsidR="00E51A17">
        <w:t xml:space="preserve">tax rate </w:t>
      </w:r>
      <w:r w:rsidR="00B07069">
        <w:t xml:space="preserve">(t) </w:t>
      </w:r>
      <w:r w:rsidR="00676BFB">
        <w:t>that</w:t>
      </w:r>
      <w:r w:rsidR="00B07069">
        <w:t xml:space="preserve"> </w:t>
      </w:r>
      <w:r w:rsidR="00676BFB">
        <w:t xml:space="preserve">is </w:t>
      </w:r>
      <w:r w:rsidR="007B6429">
        <w:t xml:space="preserve">always </w:t>
      </w:r>
      <w:r w:rsidR="00E51A17">
        <w:t>2</w:t>
      </w:r>
      <w:r w:rsidR="00CF3A8A">
        <w:t>5</w:t>
      </w:r>
      <w:r w:rsidR="00E51A17">
        <w:t xml:space="preserve">% </w:t>
      </w:r>
      <w:r w:rsidR="00F4204E">
        <w:t xml:space="preserve">on interest </w:t>
      </w:r>
      <w:r w:rsidR="00E51A17">
        <w:t xml:space="preserve">and </w:t>
      </w:r>
      <w:r w:rsidR="00676BFB">
        <w:t>a</w:t>
      </w:r>
      <w:r w:rsidR="00996FBF">
        <w:t xml:space="preserve"> </w:t>
      </w:r>
      <w:r w:rsidR="00F4204E">
        <w:t xml:space="preserve">marginal </w:t>
      </w:r>
      <w:r w:rsidR="00996FBF">
        <w:t xml:space="preserve">tax rate on </w:t>
      </w:r>
      <w:r w:rsidR="007B6429">
        <w:t xml:space="preserve">dividends </w:t>
      </w:r>
      <w:r w:rsidR="00676BFB">
        <w:t>and</w:t>
      </w:r>
      <w:r w:rsidR="007B6429">
        <w:t xml:space="preserve"> </w:t>
      </w:r>
      <w:r w:rsidR="00996FBF">
        <w:t xml:space="preserve">long-term capital gains </w:t>
      </w:r>
      <w:r w:rsidR="00B07069">
        <w:t xml:space="preserve">(g) </w:t>
      </w:r>
      <w:r w:rsidR="00676BFB">
        <w:t xml:space="preserve">that </w:t>
      </w:r>
      <w:r w:rsidR="00E51A17">
        <w:t xml:space="preserve">is </w:t>
      </w:r>
      <w:r w:rsidR="007B6429">
        <w:t xml:space="preserve">always </w:t>
      </w:r>
      <w:r w:rsidR="00E51A17">
        <w:t>1</w:t>
      </w:r>
      <w:r w:rsidR="00CF3A8A">
        <w:t>5</w:t>
      </w:r>
      <w:r w:rsidR="00E51A17">
        <w:t>%</w:t>
      </w:r>
      <w:r w:rsidR="007B6429">
        <w:t>.</w:t>
      </w:r>
      <w:r w:rsidR="009E14B8">
        <w:rPr>
          <w:rStyle w:val="EndnoteReference"/>
        </w:rPr>
        <w:endnoteReference w:id="9"/>
      </w:r>
      <w:r w:rsidR="007B6429">
        <w:t xml:space="preserve"> </w:t>
      </w:r>
      <w:r w:rsidR="00A80E0E">
        <w:t>The investment horizon is assumed to be 20 years. Later in the article, this assumption about the length of the investment horizon will be changed.</w:t>
      </w:r>
    </w:p>
    <w:p w:rsidR="00E51A17" w:rsidRDefault="00E51A17" w:rsidP="0027184B">
      <w:pPr>
        <w:spacing w:line="480" w:lineRule="auto"/>
        <w:ind w:firstLine="720"/>
      </w:pPr>
    </w:p>
    <w:p w:rsidR="005E1209" w:rsidRDefault="005E1209" w:rsidP="005E1209">
      <w:pPr>
        <w:spacing w:line="276" w:lineRule="auto"/>
        <w:rPr>
          <w:b/>
        </w:rPr>
      </w:pPr>
    </w:p>
    <w:p w:rsidR="005E1209" w:rsidRPr="00951A49" w:rsidRDefault="00DC2D93" w:rsidP="005E1209">
      <w:pPr>
        <w:spacing w:line="276" w:lineRule="auto"/>
        <w:jc w:val="center"/>
        <w:rPr>
          <w:b/>
        </w:rPr>
      </w:pPr>
      <w:r>
        <w:rPr>
          <w:b/>
        </w:rPr>
        <w:t>Scenario</w:t>
      </w:r>
      <w:r w:rsidR="002B124A">
        <w:rPr>
          <w:b/>
        </w:rPr>
        <w:t xml:space="preserve"> </w:t>
      </w:r>
      <w:r w:rsidR="005E1209">
        <w:rPr>
          <w:b/>
        </w:rPr>
        <w:t>1:</w:t>
      </w:r>
      <w:r w:rsidR="00CA68A9">
        <w:rPr>
          <w:b/>
        </w:rPr>
        <w:t xml:space="preserve"> </w:t>
      </w:r>
      <w:r w:rsidR="005E1209">
        <w:rPr>
          <w:b/>
        </w:rPr>
        <w:t xml:space="preserve">n = </w:t>
      </w:r>
      <w:r w:rsidR="00100E06">
        <w:rPr>
          <w:b/>
        </w:rPr>
        <w:t>2</w:t>
      </w:r>
      <w:r w:rsidR="005E1209">
        <w:rPr>
          <w:b/>
        </w:rPr>
        <w:t>0; R</w:t>
      </w:r>
      <w:r w:rsidR="00767756">
        <w:rPr>
          <w:b/>
          <w:vertAlign w:val="subscript"/>
        </w:rPr>
        <w:t>S</w:t>
      </w:r>
      <w:r w:rsidR="005E1209">
        <w:rPr>
          <w:b/>
        </w:rPr>
        <w:t xml:space="preserve"> = </w:t>
      </w:r>
      <w:r w:rsidR="00676BFB">
        <w:rPr>
          <w:b/>
        </w:rPr>
        <w:t>8</w:t>
      </w:r>
      <w:r w:rsidR="005E1209">
        <w:rPr>
          <w:b/>
        </w:rPr>
        <w:t>%; R</w:t>
      </w:r>
      <w:r w:rsidR="005E1209">
        <w:rPr>
          <w:b/>
          <w:vertAlign w:val="subscript"/>
        </w:rPr>
        <w:t>b</w:t>
      </w:r>
      <w:r w:rsidR="00767756">
        <w:rPr>
          <w:b/>
          <w:vertAlign w:val="subscript"/>
        </w:rPr>
        <w:t>B</w:t>
      </w:r>
      <w:r w:rsidR="005E1209">
        <w:rPr>
          <w:b/>
        </w:rPr>
        <w:t xml:space="preserve"> = </w:t>
      </w:r>
      <w:r w:rsidR="00676BFB">
        <w:rPr>
          <w:b/>
        </w:rPr>
        <w:t>4</w:t>
      </w:r>
      <w:r w:rsidR="005E1209">
        <w:rPr>
          <w:b/>
        </w:rPr>
        <w:t>%; t = 25%; g = 15%</w:t>
      </w:r>
    </w:p>
    <w:p w:rsidR="00E51A17" w:rsidRDefault="00E51A17" w:rsidP="00D31D85">
      <w:pPr>
        <w:spacing w:line="276" w:lineRule="auto"/>
      </w:pPr>
    </w:p>
    <w:p w:rsidR="00100E06" w:rsidRPr="00E51A17" w:rsidRDefault="002B124A" w:rsidP="00100E06">
      <w:pPr>
        <w:spacing w:line="276" w:lineRule="auto"/>
        <w:rPr>
          <w:b/>
        </w:rPr>
      </w:pPr>
      <w:r>
        <w:rPr>
          <w:b/>
        </w:rPr>
        <w:t>Stock</w:t>
      </w:r>
      <w:r w:rsidR="00051867">
        <w:rPr>
          <w:b/>
        </w:rPr>
        <w:t>s</w:t>
      </w:r>
      <w:r>
        <w:rPr>
          <w:b/>
        </w:rPr>
        <w:t xml:space="preserve"> </w:t>
      </w:r>
      <w:proofErr w:type="gramStart"/>
      <w:r>
        <w:rPr>
          <w:b/>
        </w:rPr>
        <w:t>In</w:t>
      </w:r>
      <w:proofErr w:type="gramEnd"/>
      <w:r>
        <w:rPr>
          <w:b/>
        </w:rPr>
        <w:t xml:space="preserve"> – Bond</w:t>
      </w:r>
      <w:r w:rsidR="00051867">
        <w:rPr>
          <w:b/>
        </w:rPr>
        <w:t>s</w:t>
      </w:r>
      <w:r>
        <w:rPr>
          <w:b/>
        </w:rPr>
        <w:t xml:space="preserve"> Out</w:t>
      </w:r>
      <w:r w:rsidR="00100E06" w:rsidRPr="00E51A17">
        <w:rPr>
          <w:b/>
        </w:rPr>
        <w:t>:</w:t>
      </w:r>
      <w:r w:rsidR="00100E06">
        <w:rPr>
          <w:b/>
        </w:rPr>
        <w:tab/>
      </w:r>
      <w:r w:rsidR="00100E06">
        <w:rPr>
          <w:b/>
        </w:rPr>
        <w:tab/>
      </w:r>
      <w:r w:rsidR="00100E06">
        <w:rPr>
          <w:b/>
        </w:rPr>
        <w:tab/>
      </w:r>
      <w:r w:rsidR="00100E06">
        <w:rPr>
          <w:b/>
        </w:rPr>
        <w:tab/>
      </w:r>
      <w:r w:rsidR="00100E06">
        <w:rPr>
          <w:b/>
        </w:rPr>
        <w:tab/>
      </w:r>
    </w:p>
    <w:tbl>
      <w:tblPr>
        <w:tblW w:w="0" w:type="auto"/>
        <w:tblInd w:w="840" w:type="dxa"/>
        <w:tblLayout w:type="fixed"/>
        <w:tblCellMar>
          <w:left w:w="120" w:type="dxa"/>
          <w:right w:w="120" w:type="dxa"/>
        </w:tblCellMar>
        <w:tblLook w:val="04A0" w:firstRow="1" w:lastRow="0" w:firstColumn="1" w:lastColumn="0" w:noHBand="0" w:noVBand="1"/>
      </w:tblPr>
      <w:tblGrid>
        <w:gridCol w:w="4140"/>
        <w:gridCol w:w="6390"/>
        <w:gridCol w:w="1800"/>
      </w:tblGrid>
      <w:tr w:rsidR="00100E06" w:rsidRPr="00E51A17" w:rsidTr="0032114B">
        <w:trPr>
          <w:tblHeader/>
        </w:trPr>
        <w:tc>
          <w:tcPr>
            <w:tcW w:w="4140" w:type="dxa"/>
          </w:tcPr>
          <w:p w:rsidR="00100E06" w:rsidRPr="00E51A17" w:rsidRDefault="00100E06" w:rsidP="00DC2F30">
            <w:pPr>
              <w:spacing w:line="276" w:lineRule="auto"/>
              <w:rPr>
                <w:b/>
              </w:rPr>
            </w:pPr>
          </w:p>
          <w:p w:rsidR="00100E06" w:rsidRPr="00E51A17" w:rsidRDefault="00100E06" w:rsidP="00C81295">
            <w:pPr>
              <w:spacing w:line="276" w:lineRule="auto"/>
              <w:rPr>
                <w:b/>
              </w:rPr>
            </w:pPr>
            <w:r w:rsidRPr="00E51A17">
              <w:rPr>
                <w:b/>
              </w:rPr>
              <w:t>Stock</w:t>
            </w:r>
            <w:r w:rsidR="00051867">
              <w:rPr>
                <w:b/>
              </w:rPr>
              <w:t>s</w:t>
            </w:r>
            <w:r w:rsidRPr="00E51A17">
              <w:rPr>
                <w:b/>
              </w:rPr>
              <w:t xml:space="preserve"> </w:t>
            </w:r>
            <w:r w:rsidR="00115FC8">
              <w:rPr>
                <w:b/>
              </w:rPr>
              <w:t>in TDA</w:t>
            </w:r>
            <w:r w:rsidRPr="00E51A17">
              <w:rPr>
                <w:b/>
              </w:rPr>
              <w:t xml:space="preserve"> </w:t>
            </w:r>
            <w:r>
              <w:rPr>
                <w:b/>
              </w:rPr>
              <w:t>(</w:t>
            </w:r>
            <w:r w:rsidR="00DC2D93">
              <w:rPr>
                <w:b/>
              </w:rPr>
              <w:t>m</w:t>
            </w:r>
            <w:r w:rsidRPr="00E51A17">
              <w:rPr>
                <w:b/>
              </w:rPr>
              <w:t xml:space="preserve">odel </w:t>
            </w:r>
            <w:r>
              <w:rPr>
                <w:b/>
              </w:rPr>
              <w:t>4</w:t>
            </w:r>
            <w:r w:rsidRPr="00E51A17">
              <w:rPr>
                <w:b/>
              </w:rPr>
              <w:t>)</w:t>
            </w:r>
          </w:p>
        </w:tc>
        <w:tc>
          <w:tcPr>
            <w:tcW w:w="6390" w:type="dxa"/>
          </w:tcPr>
          <w:p w:rsidR="00100E06" w:rsidRPr="00E51A17" w:rsidRDefault="00100E06" w:rsidP="00DC2F30">
            <w:pPr>
              <w:spacing w:line="276" w:lineRule="auto"/>
              <w:rPr>
                <w:b/>
              </w:rPr>
            </w:pPr>
          </w:p>
          <w:p w:rsidR="00100E06" w:rsidRPr="00E51A17" w:rsidRDefault="00100E06" w:rsidP="003E03E9">
            <w:pPr>
              <w:spacing w:line="276" w:lineRule="auto"/>
              <w:rPr>
                <w:b/>
              </w:rPr>
            </w:pPr>
            <w:r w:rsidRPr="00E51A17">
              <w:rPr>
                <w:b/>
              </w:rPr>
              <w:t>$</w:t>
            </w:r>
            <w:r>
              <w:rPr>
                <w:b/>
              </w:rPr>
              <w:t>25</w:t>
            </w:r>
            <w:r w:rsidRPr="00E51A17">
              <w:rPr>
                <w:b/>
              </w:rPr>
              <w:t>,000(1.</w:t>
            </w:r>
            <w:r w:rsidR="003E03E9">
              <w:rPr>
                <w:b/>
              </w:rPr>
              <w:t>08</w:t>
            </w:r>
            <w:r w:rsidRPr="00E51A17">
              <w:rPr>
                <w:b/>
              </w:rPr>
              <w:t>)</w:t>
            </w:r>
            <w:r>
              <w:rPr>
                <w:b/>
                <w:vertAlign w:val="superscript"/>
              </w:rPr>
              <w:t>2</w:t>
            </w:r>
            <w:r w:rsidRPr="00E51A17">
              <w:rPr>
                <w:b/>
                <w:vertAlign w:val="superscript"/>
              </w:rPr>
              <w:t>0</w:t>
            </w:r>
            <w:r w:rsidRPr="00E51A17">
              <w:rPr>
                <w:b/>
              </w:rPr>
              <w:t>(1 − .</w:t>
            </w:r>
            <w:r>
              <w:rPr>
                <w:b/>
              </w:rPr>
              <w:t>25</w:t>
            </w:r>
            <w:r w:rsidRPr="00E51A17">
              <w:rPr>
                <w:b/>
              </w:rPr>
              <w:t>)</w:t>
            </w:r>
          </w:p>
        </w:tc>
        <w:tc>
          <w:tcPr>
            <w:tcW w:w="1800" w:type="dxa"/>
          </w:tcPr>
          <w:p w:rsidR="00100E06" w:rsidRPr="00E51A17" w:rsidRDefault="00100E06" w:rsidP="00DC2F30">
            <w:pPr>
              <w:spacing w:line="276" w:lineRule="auto"/>
              <w:rPr>
                <w:b/>
              </w:rPr>
            </w:pPr>
          </w:p>
          <w:p w:rsidR="00100E06" w:rsidRPr="00E51A17" w:rsidRDefault="00A03E94" w:rsidP="009E4EF8">
            <w:pPr>
              <w:spacing w:line="276" w:lineRule="auto"/>
              <w:rPr>
                <w:b/>
              </w:rPr>
            </w:pPr>
            <w:r>
              <w:rPr>
                <w:b/>
              </w:rPr>
              <w:t xml:space="preserve">  </w:t>
            </w:r>
            <w:r w:rsidR="00100E06" w:rsidRPr="00E51A17">
              <w:rPr>
                <w:b/>
              </w:rPr>
              <w:t>$</w:t>
            </w:r>
            <w:r w:rsidR="003E03E9">
              <w:rPr>
                <w:b/>
              </w:rPr>
              <w:t>87</w:t>
            </w:r>
            <w:r w:rsidR="00100E06">
              <w:rPr>
                <w:b/>
              </w:rPr>
              <w:t>,</w:t>
            </w:r>
            <w:r w:rsidR="003E03E9">
              <w:rPr>
                <w:b/>
              </w:rPr>
              <w:t>393</w:t>
            </w:r>
          </w:p>
        </w:tc>
      </w:tr>
      <w:tr w:rsidR="00100E06" w:rsidRPr="00E51A17" w:rsidTr="0032114B">
        <w:tc>
          <w:tcPr>
            <w:tcW w:w="4140" w:type="dxa"/>
          </w:tcPr>
          <w:p w:rsidR="00100E06" w:rsidRPr="00E51A17" w:rsidRDefault="00100E06" w:rsidP="00DC2F30">
            <w:pPr>
              <w:spacing w:line="276" w:lineRule="auto"/>
              <w:rPr>
                <w:b/>
              </w:rPr>
            </w:pPr>
          </w:p>
          <w:p w:rsidR="00100E06" w:rsidRPr="00E51A17" w:rsidRDefault="00100E06" w:rsidP="00C81295">
            <w:pPr>
              <w:spacing w:line="276" w:lineRule="auto"/>
              <w:rPr>
                <w:b/>
              </w:rPr>
            </w:pPr>
            <w:r w:rsidRPr="00E51A17">
              <w:rPr>
                <w:b/>
              </w:rPr>
              <w:t>Bond</w:t>
            </w:r>
            <w:r w:rsidR="00051867">
              <w:rPr>
                <w:b/>
              </w:rPr>
              <w:t>s</w:t>
            </w:r>
            <w:r w:rsidRPr="00E51A17">
              <w:rPr>
                <w:b/>
              </w:rPr>
              <w:t xml:space="preserve"> </w:t>
            </w:r>
            <w:r w:rsidR="00CA68A9">
              <w:rPr>
                <w:b/>
              </w:rPr>
              <w:t>in taxable account</w:t>
            </w:r>
            <w:r w:rsidRPr="00E51A17">
              <w:rPr>
                <w:b/>
              </w:rPr>
              <w:t xml:space="preserve"> (</w:t>
            </w:r>
            <w:r w:rsidR="00DC2D93">
              <w:rPr>
                <w:b/>
              </w:rPr>
              <w:t>m</w:t>
            </w:r>
            <w:r w:rsidRPr="00E51A17">
              <w:rPr>
                <w:b/>
              </w:rPr>
              <w:t>odel 1)</w:t>
            </w:r>
          </w:p>
        </w:tc>
        <w:tc>
          <w:tcPr>
            <w:tcW w:w="6390" w:type="dxa"/>
          </w:tcPr>
          <w:p w:rsidR="00100E06" w:rsidRPr="00E51A17" w:rsidRDefault="00100E06" w:rsidP="00DC2F30">
            <w:pPr>
              <w:spacing w:line="276" w:lineRule="auto"/>
              <w:rPr>
                <w:b/>
              </w:rPr>
            </w:pPr>
          </w:p>
          <w:p w:rsidR="00100E06" w:rsidRPr="00E51A17" w:rsidRDefault="00100E06" w:rsidP="003E03E9">
            <w:pPr>
              <w:spacing w:line="276" w:lineRule="auto"/>
              <w:rPr>
                <w:b/>
              </w:rPr>
            </w:pPr>
            <w:r w:rsidRPr="00E51A17">
              <w:rPr>
                <w:b/>
              </w:rPr>
              <w:t>$</w:t>
            </w:r>
            <w:r>
              <w:rPr>
                <w:b/>
              </w:rPr>
              <w:t>18,75</w:t>
            </w:r>
            <w:r w:rsidRPr="00E51A17">
              <w:rPr>
                <w:b/>
              </w:rPr>
              <w:t>0 (1</w:t>
            </w:r>
            <w:r w:rsidR="00196E32">
              <w:rPr>
                <w:b/>
              </w:rPr>
              <w:t xml:space="preserve"> </w:t>
            </w:r>
            <w:r w:rsidR="00CA68A9">
              <w:rPr>
                <w:b/>
              </w:rPr>
              <w:t>+</w:t>
            </w:r>
            <w:r w:rsidRPr="00E51A17">
              <w:rPr>
                <w:b/>
              </w:rPr>
              <w:t>.0</w:t>
            </w:r>
            <w:r w:rsidR="003E03E9">
              <w:rPr>
                <w:b/>
              </w:rPr>
              <w:t>4</w:t>
            </w:r>
            <w:r w:rsidR="00CA68A9">
              <w:rPr>
                <w:b/>
              </w:rPr>
              <w:t>(1</w:t>
            </w:r>
            <w:r w:rsidR="00CA68A9" w:rsidRPr="00E51A17">
              <w:rPr>
                <w:b/>
              </w:rPr>
              <w:t>− .</w:t>
            </w:r>
            <w:r w:rsidR="00CA68A9">
              <w:rPr>
                <w:b/>
              </w:rPr>
              <w:t>25</w:t>
            </w:r>
            <w:r w:rsidR="00CA68A9" w:rsidRPr="00E51A17">
              <w:rPr>
                <w:b/>
              </w:rPr>
              <w:t>)</w:t>
            </w:r>
            <w:r w:rsidRPr="00E51A17">
              <w:rPr>
                <w:b/>
              </w:rPr>
              <w:t>)</w:t>
            </w:r>
            <w:r>
              <w:rPr>
                <w:b/>
                <w:vertAlign w:val="superscript"/>
              </w:rPr>
              <w:t>2</w:t>
            </w:r>
            <w:r w:rsidRPr="00E51A17">
              <w:rPr>
                <w:b/>
                <w:vertAlign w:val="superscript"/>
              </w:rPr>
              <w:t>0</w:t>
            </w:r>
          </w:p>
        </w:tc>
        <w:tc>
          <w:tcPr>
            <w:tcW w:w="1800" w:type="dxa"/>
          </w:tcPr>
          <w:p w:rsidR="00100E06" w:rsidRPr="00E51A17" w:rsidRDefault="00100E06" w:rsidP="00DC2F30">
            <w:pPr>
              <w:spacing w:line="276" w:lineRule="auto"/>
              <w:rPr>
                <w:b/>
              </w:rPr>
            </w:pPr>
          </w:p>
          <w:p w:rsidR="00100E06" w:rsidRPr="00E51A17" w:rsidRDefault="00100E06" w:rsidP="00DC2F30">
            <w:pPr>
              <w:spacing w:line="276" w:lineRule="auto"/>
              <w:rPr>
                <w:b/>
              </w:rPr>
            </w:pPr>
            <w:r w:rsidRPr="00E51A17">
              <w:rPr>
                <w:b/>
                <w:u w:val="single"/>
              </w:rPr>
              <w:t xml:space="preserve"> </w:t>
            </w:r>
            <w:r>
              <w:rPr>
                <w:b/>
                <w:u w:val="single"/>
              </w:rPr>
              <w:t xml:space="preserve"> </w:t>
            </w:r>
            <w:r w:rsidR="00DC2D93">
              <w:rPr>
                <w:b/>
                <w:u w:val="single"/>
              </w:rPr>
              <w:t xml:space="preserve"> </w:t>
            </w:r>
            <w:r>
              <w:rPr>
                <w:b/>
                <w:u w:val="single"/>
              </w:rPr>
              <w:t xml:space="preserve"> </w:t>
            </w:r>
            <w:r w:rsidR="003E03E9">
              <w:rPr>
                <w:b/>
                <w:u w:val="single"/>
              </w:rPr>
              <w:t>33</w:t>
            </w:r>
            <w:r w:rsidRPr="00E51A17">
              <w:rPr>
                <w:b/>
                <w:u w:val="single"/>
              </w:rPr>
              <w:t>,</w:t>
            </w:r>
            <w:r w:rsidR="003E03E9">
              <w:rPr>
                <w:b/>
                <w:u w:val="single"/>
              </w:rPr>
              <w:t>865</w:t>
            </w:r>
          </w:p>
        </w:tc>
      </w:tr>
      <w:tr w:rsidR="00100E06" w:rsidRPr="00E51A17" w:rsidTr="0032114B">
        <w:tc>
          <w:tcPr>
            <w:tcW w:w="4140" w:type="dxa"/>
          </w:tcPr>
          <w:p w:rsidR="00100E06" w:rsidRPr="00E51A17" w:rsidRDefault="00100E06" w:rsidP="00DC2F30">
            <w:pPr>
              <w:spacing w:line="276" w:lineRule="auto"/>
              <w:rPr>
                <w:b/>
              </w:rPr>
            </w:pPr>
          </w:p>
          <w:p w:rsidR="00100E06" w:rsidRPr="00E51A17" w:rsidRDefault="00100E06" w:rsidP="00DC2F30">
            <w:pPr>
              <w:spacing w:line="276" w:lineRule="auto"/>
              <w:rPr>
                <w:b/>
              </w:rPr>
            </w:pPr>
            <w:r>
              <w:rPr>
                <w:b/>
              </w:rPr>
              <w:t>ATFV</w:t>
            </w:r>
          </w:p>
        </w:tc>
        <w:tc>
          <w:tcPr>
            <w:tcW w:w="6390" w:type="dxa"/>
          </w:tcPr>
          <w:p w:rsidR="00100E06" w:rsidRPr="00E51A17" w:rsidRDefault="00100E06" w:rsidP="00DC2F30">
            <w:pPr>
              <w:spacing w:line="276" w:lineRule="auto"/>
              <w:rPr>
                <w:b/>
              </w:rPr>
            </w:pPr>
          </w:p>
          <w:p w:rsidR="00100E06" w:rsidRPr="00E51A17" w:rsidRDefault="00100E06" w:rsidP="00DC2F30">
            <w:pPr>
              <w:spacing w:line="276" w:lineRule="auto"/>
              <w:rPr>
                <w:b/>
              </w:rPr>
            </w:pPr>
          </w:p>
        </w:tc>
        <w:tc>
          <w:tcPr>
            <w:tcW w:w="1800" w:type="dxa"/>
          </w:tcPr>
          <w:p w:rsidR="00100E06" w:rsidRPr="00E51A17" w:rsidRDefault="00100E06" w:rsidP="00DC2F30">
            <w:pPr>
              <w:spacing w:line="276" w:lineRule="auto"/>
              <w:rPr>
                <w:b/>
              </w:rPr>
            </w:pPr>
          </w:p>
          <w:p w:rsidR="00100E06" w:rsidRPr="00E51A17" w:rsidRDefault="00100E06" w:rsidP="00DC2F30">
            <w:pPr>
              <w:spacing w:line="276" w:lineRule="auto"/>
              <w:rPr>
                <w:b/>
              </w:rPr>
            </w:pPr>
            <w:r w:rsidRPr="00E51A17">
              <w:rPr>
                <w:b/>
                <w:u w:val="double"/>
              </w:rPr>
              <w:t>$</w:t>
            </w:r>
            <w:r>
              <w:rPr>
                <w:b/>
                <w:u w:val="double"/>
              </w:rPr>
              <w:t>1</w:t>
            </w:r>
            <w:r w:rsidR="003E03E9">
              <w:rPr>
                <w:b/>
                <w:u w:val="double"/>
              </w:rPr>
              <w:t>2</w:t>
            </w:r>
            <w:r>
              <w:rPr>
                <w:b/>
                <w:u w:val="double"/>
              </w:rPr>
              <w:t>1</w:t>
            </w:r>
            <w:r w:rsidRPr="00E51A17">
              <w:rPr>
                <w:b/>
                <w:u w:val="double"/>
              </w:rPr>
              <w:t>,</w:t>
            </w:r>
            <w:r w:rsidR="003E03E9">
              <w:rPr>
                <w:b/>
                <w:u w:val="double"/>
              </w:rPr>
              <w:t>258</w:t>
            </w:r>
          </w:p>
        </w:tc>
      </w:tr>
    </w:tbl>
    <w:p w:rsidR="00100E06" w:rsidRPr="00E51A17" w:rsidRDefault="00100E06" w:rsidP="00100E06">
      <w:pPr>
        <w:spacing w:line="276" w:lineRule="auto"/>
        <w:rPr>
          <w:b/>
        </w:rPr>
      </w:pPr>
    </w:p>
    <w:p w:rsidR="00100E06" w:rsidRPr="00E51A17" w:rsidRDefault="002B124A" w:rsidP="00100E06">
      <w:pPr>
        <w:spacing w:line="276" w:lineRule="auto"/>
        <w:rPr>
          <w:b/>
        </w:rPr>
      </w:pPr>
      <w:r>
        <w:rPr>
          <w:b/>
        </w:rPr>
        <w:t>Bond</w:t>
      </w:r>
      <w:r w:rsidR="00051867">
        <w:rPr>
          <w:b/>
        </w:rPr>
        <w:t>s</w:t>
      </w:r>
      <w:r>
        <w:rPr>
          <w:b/>
        </w:rPr>
        <w:t xml:space="preserve"> </w:t>
      </w:r>
      <w:proofErr w:type="gramStart"/>
      <w:r>
        <w:rPr>
          <w:b/>
        </w:rPr>
        <w:t>In</w:t>
      </w:r>
      <w:proofErr w:type="gramEnd"/>
      <w:r>
        <w:rPr>
          <w:b/>
        </w:rPr>
        <w:t xml:space="preserve"> – Stock</w:t>
      </w:r>
      <w:r w:rsidR="00051867">
        <w:rPr>
          <w:b/>
        </w:rPr>
        <w:t>s</w:t>
      </w:r>
      <w:r>
        <w:rPr>
          <w:b/>
        </w:rPr>
        <w:t xml:space="preserve"> Out</w:t>
      </w:r>
      <w:r w:rsidR="00CE71D4" w:rsidRPr="00E51A17">
        <w:rPr>
          <w:b/>
        </w:rPr>
        <w:t>:</w:t>
      </w:r>
      <w:r w:rsidR="00294584">
        <w:rPr>
          <w:rStyle w:val="EndnoteReference"/>
        </w:rPr>
        <w:endnoteReference w:id="10"/>
      </w:r>
    </w:p>
    <w:tbl>
      <w:tblPr>
        <w:tblW w:w="12330" w:type="dxa"/>
        <w:tblInd w:w="840" w:type="dxa"/>
        <w:tblLayout w:type="fixed"/>
        <w:tblCellMar>
          <w:left w:w="120" w:type="dxa"/>
          <w:right w:w="120" w:type="dxa"/>
        </w:tblCellMar>
        <w:tblLook w:val="04A0" w:firstRow="1" w:lastRow="0" w:firstColumn="1" w:lastColumn="0" w:noHBand="0" w:noVBand="1"/>
      </w:tblPr>
      <w:tblGrid>
        <w:gridCol w:w="2880"/>
        <w:gridCol w:w="1260"/>
        <w:gridCol w:w="6480"/>
        <w:gridCol w:w="1710"/>
      </w:tblGrid>
      <w:tr w:rsidR="00100E06" w:rsidRPr="00E51A17" w:rsidTr="0032114B">
        <w:trPr>
          <w:tblHeader/>
        </w:trPr>
        <w:tc>
          <w:tcPr>
            <w:tcW w:w="4140" w:type="dxa"/>
            <w:gridSpan w:val="2"/>
          </w:tcPr>
          <w:p w:rsidR="00100E06" w:rsidRPr="00E51A17" w:rsidRDefault="00100E06" w:rsidP="00DC2F30">
            <w:pPr>
              <w:spacing w:line="276" w:lineRule="auto"/>
              <w:rPr>
                <w:b/>
              </w:rPr>
            </w:pPr>
          </w:p>
          <w:p w:rsidR="00100E06" w:rsidRPr="00E51A17" w:rsidRDefault="00100E06" w:rsidP="00C81295">
            <w:pPr>
              <w:spacing w:line="276" w:lineRule="auto"/>
              <w:rPr>
                <w:b/>
              </w:rPr>
            </w:pPr>
            <w:r w:rsidRPr="00E51A17">
              <w:rPr>
                <w:b/>
              </w:rPr>
              <w:t>Bond</w:t>
            </w:r>
            <w:r w:rsidR="00051867">
              <w:rPr>
                <w:b/>
              </w:rPr>
              <w:t>s</w:t>
            </w:r>
            <w:r w:rsidRPr="00E51A17">
              <w:rPr>
                <w:b/>
              </w:rPr>
              <w:t xml:space="preserve"> </w:t>
            </w:r>
            <w:r w:rsidR="00115FC8">
              <w:rPr>
                <w:b/>
              </w:rPr>
              <w:t>in TDA</w:t>
            </w:r>
            <w:r>
              <w:rPr>
                <w:b/>
              </w:rPr>
              <w:t xml:space="preserve"> (</w:t>
            </w:r>
            <w:r w:rsidR="00DC2D93">
              <w:rPr>
                <w:b/>
              </w:rPr>
              <w:t>m</w:t>
            </w:r>
            <w:r w:rsidRPr="00E51A17">
              <w:rPr>
                <w:b/>
              </w:rPr>
              <w:t xml:space="preserve">odel </w:t>
            </w:r>
            <w:r>
              <w:rPr>
                <w:b/>
              </w:rPr>
              <w:t>4</w:t>
            </w:r>
            <w:r w:rsidRPr="00E51A17">
              <w:rPr>
                <w:b/>
              </w:rPr>
              <w:t>)</w:t>
            </w:r>
          </w:p>
        </w:tc>
        <w:tc>
          <w:tcPr>
            <w:tcW w:w="6480" w:type="dxa"/>
          </w:tcPr>
          <w:p w:rsidR="00100E06" w:rsidRPr="00E51A17" w:rsidRDefault="00100E06" w:rsidP="00DC2F30">
            <w:pPr>
              <w:spacing w:line="276" w:lineRule="auto"/>
              <w:rPr>
                <w:b/>
              </w:rPr>
            </w:pPr>
          </w:p>
          <w:p w:rsidR="00100E06" w:rsidRPr="00E51A17" w:rsidRDefault="00100E06" w:rsidP="00DC2F30">
            <w:pPr>
              <w:spacing w:line="276" w:lineRule="auto"/>
              <w:rPr>
                <w:b/>
              </w:rPr>
            </w:pPr>
            <w:r w:rsidRPr="00E51A17">
              <w:rPr>
                <w:b/>
              </w:rPr>
              <w:t>$</w:t>
            </w:r>
            <w:r>
              <w:rPr>
                <w:b/>
              </w:rPr>
              <w:t>25</w:t>
            </w:r>
            <w:r w:rsidRPr="00E51A17">
              <w:rPr>
                <w:b/>
              </w:rPr>
              <w:t>,000(1.</w:t>
            </w:r>
            <w:r>
              <w:rPr>
                <w:b/>
              </w:rPr>
              <w:t>0</w:t>
            </w:r>
            <w:r w:rsidR="003E03E9">
              <w:rPr>
                <w:b/>
              </w:rPr>
              <w:t>4</w:t>
            </w:r>
            <w:r w:rsidRPr="00E51A17">
              <w:rPr>
                <w:b/>
              </w:rPr>
              <w:t>)</w:t>
            </w:r>
            <w:r>
              <w:rPr>
                <w:b/>
                <w:vertAlign w:val="superscript"/>
              </w:rPr>
              <w:t>2</w:t>
            </w:r>
            <w:r w:rsidRPr="00E51A17">
              <w:rPr>
                <w:b/>
                <w:vertAlign w:val="superscript"/>
              </w:rPr>
              <w:t>0</w:t>
            </w:r>
            <w:r w:rsidRPr="00E51A17">
              <w:rPr>
                <w:b/>
              </w:rPr>
              <w:t>(1 − .</w:t>
            </w:r>
            <w:r>
              <w:rPr>
                <w:b/>
              </w:rPr>
              <w:t>2</w:t>
            </w:r>
            <w:r w:rsidRPr="00E51A17">
              <w:rPr>
                <w:b/>
              </w:rPr>
              <w:t>5)</w:t>
            </w:r>
          </w:p>
        </w:tc>
        <w:tc>
          <w:tcPr>
            <w:tcW w:w="1710" w:type="dxa"/>
          </w:tcPr>
          <w:p w:rsidR="00100E06" w:rsidRPr="00E51A17" w:rsidRDefault="00100E06" w:rsidP="00DC2F30">
            <w:pPr>
              <w:spacing w:line="276" w:lineRule="auto"/>
              <w:rPr>
                <w:b/>
              </w:rPr>
            </w:pPr>
          </w:p>
          <w:p w:rsidR="00100E06" w:rsidRPr="00E51A17" w:rsidRDefault="00A03E94" w:rsidP="009E4EF8">
            <w:pPr>
              <w:spacing w:line="276" w:lineRule="auto"/>
              <w:rPr>
                <w:b/>
              </w:rPr>
            </w:pPr>
            <w:r>
              <w:rPr>
                <w:b/>
              </w:rPr>
              <w:t xml:space="preserve">  </w:t>
            </w:r>
            <w:r w:rsidR="00100E06" w:rsidRPr="00E51A17">
              <w:rPr>
                <w:b/>
              </w:rPr>
              <w:t>$</w:t>
            </w:r>
            <w:r w:rsidR="003E03E9">
              <w:rPr>
                <w:b/>
              </w:rPr>
              <w:t>41</w:t>
            </w:r>
            <w:r w:rsidR="00100E06" w:rsidRPr="00E51A17">
              <w:rPr>
                <w:b/>
              </w:rPr>
              <w:t>,</w:t>
            </w:r>
            <w:r w:rsidR="003E03E9">
              <w:rPr>
                <w:b/>
              </w:rPr>
              <w:t>084</w:t>
            </w:r>
          </w:p>
        </w:tc>
      </w:tr>
      <w:tr w:rsidR="00100E06" w:rsidRPr="00E51A17" w:rsidTr="0032114B">
        <w:tc>
          <w:tcPr>
            <w:tcW w:w="2880" w:type="dxa"/>
          </w:tcPr>
          <w:p w:rsidR="00100E06" w:rsidRPr="00E51A17" w:rsidRDefault="00100E06" w:rsidP="00DC2F30">
            <w:pPr>
              <w:spacing w:line="276" w:lineRule="auto"/>
              <w:rPr>
                <w:b/>
              </w:rPr>
            </w:pPr>
          </w:p>
          <w:p w:rsidR="00100E06" w:rsidRPr="00E51A17" w:rsidRDefault="00100E06" w:rsidP="00C81295">
            <w:pPr>
              <w:spacing w:line="276" w:lineRule="auto"/>
              <w:rPr>
                <w:b/>
              </w:rPr>
            </w:pPr>
            <w:r w:rsidRPr="00E51A17">
              <w:rPr>
                <w:b/>
              </w:rPr>
              <w:t>Stock</w:t>
            </w:r>
            <w:r w:rsidR="00051867">
              <w:rPr>
                <w:b/>
              </w:rPr>
              <w:t>s</w:t>
            </w:r>
            <w:r w:rsidRPr="00E51A17">
              <w:rPr>
                <w:b/>
              </w:rPr>
              <w:t xml:space="preserve"> </w:t>
            </w:r>
            <w:r w:rsidR="00CA68A9">
              <w:rPr>
                <w:b/>
              </w:rPr>
              <w:t>in taxable account</w:t>
            </w:r>
            <w:r w:rsidRPr="00E51A17">
              <w:rPr>
                <w:b/>
              </w:rPr>
              <w:t xml:space="preserve"> (</w:t>
            </w:r>
            <w:r w:rsidR="003E03E9">
              <w:rPr>
                <w:b/>
              </w:rPr>
              <w:t xml:space="preserve">hybrid: </w:t>
            </w:r>
            <w:r w:rsidR="00DC2D93">
              <w:rPr>
                <w:b/>
              </w:rPr>
              <w:t>m</w:t>
            </w:r>
            <w:r w:rsidRPr="00E51A17">
              <w:rPr>
                <w:b/>
              </w:rPr>
              <w:t>odel</w:t>
            </w:r>
            <w:r w:rsidR="003E03E9">
              <w:rPr>
                <w:b/>
              </w:rPr>
              <w:t>s</w:t>
            </w:r>
            <w:r w:rsidRPr="00E51A17">
              <w:rPr>
                <w:b/>
              </w:rPr>
              <w:t xml:space="preserve"> </w:t>
            </w:r>
            <w:r w:rsidR="003E03E9">
              <w:rPr>
                <w:b/>
              </w:rPr>
              <w:t xml:space="preserve">2 &amp; </w:t>
            </w:r>
            <w:r w:rsidR="00CA68A9">
              <w:rPr>
                <w:b/>
              </w:rPr>
              <w:t>3</w:t>
            </w:r>
            <w:r w:rsidRPr="00E51A17">
              <w:rPr>
                <w:b/>
              </w:rPr>
              <w:t>)</w:t>
            </w:r>
            <w:r w:rsidR="00F23E84">
              <w:rPr>
                <w:rStyle w:val="EndnoteReference"/>
                <w:b/>
              </w:rPr>
              <w:endnoteReference w:id="11"/>
            </w:r>
          </w:p>
        </w:tc>
        <w:tc>
          <w:tcPr>
            <w:tcW w:w="7740" w:type="dxa"/>
            <w:gridSpan w:val="2"/>
          </w:tcPr>
          <w:p w:rsidR="00100E06" w:rsidRPr="00E51A17" w:rsidRDefault="00100E06" w:rsidP="00DC2F30">
            <w:pPr>
              <w:spacing w:line="276" w:lineRule="auto"/>
              <w:rPr>
                <w:b/>
              </w:rPr>
            </w:pPr>
          </w:p>
          <w:p w:rsidR="00B65EE6" w:rsidRDefault="00100E06" w:rsidP="008B11B0">
            <w:pPr>
              <w:spacing w:line="276" w:lineRule="auto"/>
              <w:rPr>
                <w:b/>
              </w:rPr>
            </w:pPr>
            <w:r w:rsidRPr="00E51A17">
              <w:rPr>
                <w:b/>
              </w:rPr>
              <w:t>$</w:t>
            </w:r>
            <w:r>
              <w:rPr>
                <w:b/>
              </w:rPr>
              <w:t>18</w:t>
            </w:r>
            <w:r w:rsidRPr="00E51A17">
              <w:rPr>
                <w:b/>
              </w:rPr>
              <w:t>,</w:t>
            </w:r>
            <w:r>
              <w:rPr>
                <w:b/>
              </w:rPr>
              <w:t>75</w:t>
            </w:r>
            <w:r w:rsidRPr="00E51A17">
              <w:rPr>
                <w:b/>
              </w:rPr>
              <w:t>0</w:t>
            </w:r>
            <w:r w:rsidR="001519E7">
              <w:rPr>
                <w:b/>
              </w:rPr>
              <w:t>(1.08</w:t>
            </w:r>
            <w:r w:rsidR="00196E32">
              <w:rPr>
                <w:b/>
              </w:rPr>
              <w:t xml:space="preserve"> </w:t>
            </w:r>
            <w:r w:rsidR="001519E7">
              <w:rPr>
                <w:b/>
              </w:rPr>
              <w:t>−</w:t>
            </w:r>
            <w:r w:rsidR="00196E32">
              <w:rPr>
                <w:b/>
              </w:rPr>
              <w:t xml:space="preserve"> </w:t>
            </w:r>
            <w:r w:rsidR="001519E7">
              <w:rPr>
                <w:b/>
              </w:rPr>
              <w:t>.003)</w:t>
            </w:r>
            <w:r w:rsidR="001519E7">
              <w:rPr>
                <w:b/>
                <w:vertAlign w:val="superscript"/>
              </w:rPr>
              <w:t>20</w:t>
            </w:r>
            <w:r w:rsidR="001519E7" w:rsidRPr="00767756">
              <w:rPr>
                <w:b/>
              </w:rPr>
              <w:t xml:space="preserve"> </w:t>
            </w:r>
            <w:r w:rsidR="001519E7">
              <w:rPr>
                <w:b/>
              </w:rPr>
              <w:t>− .15{</w:t>
            </w:r>
            <w:r w:rsidR="001519E7" w:rsidRPr="00E51A17">
              <w:rPr>
                <w:b/>
              </w:rPr>
              <w:t>$</w:t>
            </w:r>
            <w:r w:rsidR="001519E7">
              <w:rPr>
                <w:b/>
              </w:rPr>
              <w:t>18</w:t>
            </w:r>
            <w:r w:rsidR="001519E7" w:rsidRPr="00E51A17">
              <w:rPr>
                <w:b/>
              </w:rPr>
              <w:t>,</w:t>
            </w:r>
            <w:r w:rsidR="001519E7">
              <w:rPr>
                <w:b/>
              </w:rPr>
              <w:t>75</w:t>
            </w:r>
            <w:r w:rsidR="001519E7" w:rsidRPr="00E51A17">
              <w:rPr>
                <w:b/>
              </w:rPr>
              <w:t>0</w:t>
            </w:r>
            <w:r w:rsidR="001519E7">
              <w:rPr>
                <w:b/>
              </w:rPr>
              <w:t>(1.08</w:t>
            </w:r>
            <w:r w:rsidR="00196E32">
              <w:rPr>
                <w:b/>
              </w:rPr>
              <w:t xml:space="preserve"> </w:t>
            </w:r>
            <w:r w:rsidR="001519E7">
              <w:rPr>
                <w:b/>
              </w:rPr>
              <w:t>−</w:t>
            </w:r>
            <w:r w:rsidR="00196E32">
              <w:rPr>
                <w:b/>
              </w:rPr>
              <w:t xml:space="preserve"> </w:t>
            </w:r>
            <w:r w:rsidR="001519E7">
              <w:rPr>
                <w:b/>
              </w:rPr>
              <w:t>.003)</w:t>
            </w:r>
            <w:r w:rsidR="001519E7">
              <w:rPr>
                <w:b/>
                <w:vertAlign w:val="superscript"/>
              </w:rPr>
              <w:t xml:space="preserve">20 </w:t>
            </w:r>
            <w:r w:rsidRPr="00E51A17">
              <w:rPr>
                <w:b/>
              </w:rPr>
              <w:t xml:space="preserve"> </w:t>
            </w:r>
          </w:p>
          <w:p w:rsidR="00100E06" w:rsidRPr="00E51A17" w:rsidRDefault="001519E7" w:rsidP="008B11B0">
            <w:pPr>
              <w:spacing w:line="276" w:lineRule="auto"/>
              <w:rPr>
                <w:b/>
              </w:rPr>
            </w:pPr>
            <w:r>
              <w:rPr>
                <w:b/>
              </w:rPr>
              <w:t>− 18,750</w:t>
            </w:r>
            <w:r w:rsidR="00100E06" w:rsidRPr="00E51A17">
              <w:rPr>
                <w:b/>
              </w:rPr>
              <w:t>[</w:t>
            </w:r>
            <w:r w:rsidR="008B11B0">
              <w:rPr>
                <w:b/>
              </w:rPr>
              <w:t>(</w:t>
            </w:r>
            <w:r>
              <w:rPr>
                <w:b/>
              </w:rPr>
              <w:t>.75</w:t>
            </w:r>
            <w:r w:rsidR="00CE71D4">
              <w:rPr>
                <w:b/>
              </w:rPr>
              <w:t xml:space="preserve"> </w:t>
            </w:r>
            <w:r>
              <w:rPr>
                <w:b/>
              </w:rPr>
              <w:t>+</w:t>
            </w:r>
            <w:r w:rsidR="00CE71D4">
              <w:rPr>
                <w:b/>
              </w:rPr>
              <w:t xml:space="preserve"> </w:t>
            </w:r>
            <w:r w:rsidR="00100E06" w:rsidRPr="00E51A17">
              <w:rPr>
                <w:b/>
              </w:rPr>
              <w:t>(</w:t>
            </w:r>
            <w:r w:rsidR="008B11B0">
              <w:rPr>
                <w:b/>
              </w:rPr>
              <w:t>1.08</w:t>
            </w:r>
            <w:r w:rsidR="00196E32">
              <w:rPr>
                <w:b/>
              </w:rPr>
              <w:t xml:space="preserve"> </w:t>
            </w:r>
            <w:r w:rsidR="008B11B0">
              <w:rPr>
                <w:b/>
              </w:rPr>
              <w:t>−</w:t>
            </w:r>
            <w:r w:rsidR="00196E32">
              <w:rPr>
                <w:b/>
              </w:rPr>
              <w:t xml:space="preserve"> </w:t>
            </w:r>
            <w:r w:rsidR="008B11B0">
              <w:rPr>
                <w:b/>
              </w:rPr>
              <w:t>.003</w:t>
            </w:r>
            <w:r w:rsidR="00100E06" w:rsidRPr="00E51A17">
              <w:rPr>
                <w:b/>
              </w:rPr>
              <w:t>)</w:t>
            </w:r>
            <w:r w:rsidR="00100E06">
              <w:rPr>
                <w:b/>
                <w:vertAlign w:val="superscript"/>
              </w:rPr>
              <w:t>2</w:t>
            </w:r>
            <w:r w:rsidR="00100E06" w:rsidRPr="00E51A17">
              <w:rPr>
                <w:b/>
                <w:vertAlign w:val="superscript"/>
              </w:rPr>
              <w:t xml:space="preserve">0 </w:t>
            </w:r>
            <w:r w:rsidR="008B11B0">
              <w:rPr>
                <w:b/>
              </w:rPr>
              <w:t>.25</w:t>
            </w:r>
            <w:r w:rsidR="00100E06" w:rsidRPr="00E51A17">
              <w:rPr>
                <w:b/>
              </w:rPr>
              <w:t>(1</w:t>
            </w:r>
            <w:r w:rsidR="00196E32">
              <w:rPr>
                <w:b/>
              </w:rPr>
              <w:t xml:space="preserve"> </w:t>
            </w:r>
            <w:r w:rsidR="00100E06" w:rsidRPr="00E51A17">
              <w:rPr>
                <w:b/>
              </w:rPr>
              <w:t>−</w:t>
            </w:r>
            <w:r w:rsidR="00196E32">
              <w:rPr>
                <w:b/>
              </w:rPr>
              <w:t xml:space="preserve"> </w:t>
            </w:r>
            <w:r w:rsidR="00100E06" w:rsidRPr="00E51A17">
              <w:rPr>
                <w:b/>
              </w:rPr>
              <w:t>0.15)</w:t>
            </w:r>
            <w:r w:rsidR="008B11B0">
              <w:rPr>
                <w:b/>
              </w:rPr>
              <w:t>) / 1</w:t>
            </w:r>
            <w:r w:rsidR="00CE71D4">
              <w:rPr>
                <w:b/>
              </w:rPr>
              <w:t xml:space="preserve"> </w:t>
            </w:r>
            <w:r w:rsidR="008B11B0">
              <w:rPr>
                <w:b/>
              </w:rPr>
              <w:t>−</w:t>
            </w:r>
            <w:r w:rsidR="00CE71D4">
              <w:rPr>
                <w:b/>
              </w:rPr>
              <w:t xml:space="preserve"> </w:t>
            </w:r>
            <w:r w:rsidR="008B11B0">
              <w:rPr>
                <w:b/>
              </w:rPr>
              <w:t>(.25</w:t>
            </w:r>
            <w:r w:rsidR="00196E32">
              <w:rPr>
                <w:b/>
              </w:rPr>
              <w:t xml:space="preserve"> </w:t>
            </w:r>
            <w:r w:rsidR="008B11B0">
              <w:rPr>
                <w:b/>
              </w:rPr>
              <w:t>×</w:t>
            </w:r>
            <w:r w:rsidR="00196E32">
              <w:rPr>
                <w:b/>
              </w:rPr>
              <w:t xml:space="preserve"> </w:t>
            </w:r>
            <w:r w:rsidR="008B11B0">
              <w:rPr>
                <w:b/>
              </w:rPr>
              <w:t>.15)</w:t>
            </w:r>
            <w:r w:rsidR="00100E06" w:rsidRPr="00E51A17">
              <w:rPr>
                <w:b/>
              </w:rPr>
              <w:t>]</w:t>
            </w:r>
            <w:r w:rsidR="008B11B0">
              <w:rPr>
                <w:b/>
              </w:rPr>
              <w:t>}</w:t>
            </w:r>
            <w:r w:rsidR="00100E06" w:rsidRPr="00E51A17">
              <w:rPr>
                <w:b/>
              </w:rPr>
              <w:t xml:space="preserve">     </w:t>
            </w:r>
          </w:p>
        </w:tc>
        <w:tc>
          <w:tcPr>
            <w:tcW w:w="1710" w:type="dxa"/>
          </w:tcPr>
          <w:p w:rsidR="00100E06" w:rsidRPr="00E51A17" w:rsidRDefault="00100E06" w:rsidP="00DC2F30">
            <w:pPr>
              <w:spacing w:line="276" w:lineRule="auto"/>
              <w:rPr>
                <w:b/>
              </w:rPr>
            </w:pPr>
          </w:p>
          <w:p w:rsidR="00100E06" w:rsidRPr="00E51A17" w:rsidRDefault="00100E06" w:rsidP="00DC2F30">
            <w:pPr>
              <w:spacing w:line="276" w:lineRule="auto"/>
              <w:rPr>
                <w:b/>
                <w:u w:val="single"/>
              </w:rPr>
            </w:pPr>
          </w:p>
          <w:p w:rsidR="00100E06" w:rsidRPr="00E51A17" w:rsidRDefault="003E03E9" w:rsidP="003E03E9">
            <w:pPr>
              <w:spacing w:line="276" w:lineRule="auto"/>
              <w:rPr>
                <w:b/>
              </w:rPr>
            </w:pPr>
            <w:r>
              <w:rPr>
                <w:b/>
                <w:u w:val="single"/>
              </w:rPr>
              <w:t xml:space="preserve">    75</w:t>
            </w:r>
            <w:r w:rsidR="00100E06">
              <w:rPr>
                <w:b/>
                <w:u w:val="single"/>
              </w:rPr>
              <w:t>,</w:t>
            </w:r>
            <w:r>
              <w:rPr>
                <w:b/>
                <w:u w:val="single"/>
              </w:rPr>
              <w:t>193</w:t>
            </w:r>
          </w:p>
        </w:tc>
      </w:tr>
      <w:tr w:rsidR="00100E06" w:rsidRPr="00E51A17" w:rsidTr="0032114B">
        <w:tc>
          <w:tcPr>
            <w:tcW w:w="4140" w:type="dxa"/>
            <w:gridSpan w:val="2"/>
          </w:tcPr>
          <w:p w:rsidR="00100E06" w:rsidRPr="00E51A17" w:rsidRDefault="00100E06" w:rsidP="00DC2F30">
            <w:pPr>
              <w:spacing w:line="276" w:lineRule="auto"/>
              <w:rPr>
                <w:b/>
              </w:rPr>
            </w:pPr>
          </w:p>
          <w:p w:rsidR="00100E06" w:rsidRPr="00E51A17" w:rsidRDefault="00100E06" w:rsidP="00DC2F30">
            <w:pPr>
              <w:spacing w:line="276" w:lineRule="auto"/>
              <w:rPr>
                <w:b/>
              </w:rPr>
            </w:pPr>
            <w:r>
              <w:rPr>
                <w:b/>
              </w:rPr>
              <w:t>ATFV</w:t>
            </w:r>
          </w:p>
        </w:tc>
        <w:tc>
          <w:tcPr>
            <w:tcW w:w="6480" w:type="dxa"/>
          </w:tcPr>
          <w:p w:rsidR="00100E06" w:rsidRPr="00E51A17" w:rsidRDefault="00100E06" w:rsidP="00DC2F30">
            <w:pPr>
              <w:spacing w:line="276" w:lineRule="auto"/>
              <w:rPr>
                <w:b/>
              </w:rPr>
            </w:pPr>
          </w:p>
          <w:p w:rsidR="00100E06" w:rsidRPr="00E51A17" w:rsidRDefault="00100E06" w:rsidP="00DC2F30">
            <w:pPr>
              <w:spacing w:line="276" w:lineRule="auto"/>
              <w:rPr>
                <w:b/>
              </w:rPr>
            </w:pPr>
          </w:p>
        </w:tc>
        <w:tc>
          <w:tcPr>
            <w:tcW w:w="1710" w:type="dxa"/>
          </w:tcPr>
          <w:p w:rsidR="00100E06" w:rsidRPr="00E51A17" w:rsidRDefault="00100E06" w:rsidP="00DC2F30">
            <w:pPr>
              <w:spacing w:line="276" w:lineRule="auto"/>
              <w:rPr>
                <w:b/>
              </w:rPr>
            </w:pPr>
          </w:p>
          <w:p w:rsidR="00100E06" w:rsidRPr="00E51A17" w:rsidRDefault="00100E06" w:rsidP="003E03E9">
            <w:pPr>
              <w:spacing w:line="276" w:lineRule="auto"/>
              <w:rPr>
                <w:b/>
              </w:rPr>
            </w:pPr>
            <w:r w:rsidRPr="00E51A17">
              <w:rPr>
                <w:b/>
                <w:u w:val="double"/>
              </w:rPr>
              <w:t>$</w:t>
            </w:r>
            <w:r>
              <w:rPr>
                <w:b/>
                <w:u w:val="double"/>
              </w:rPr>
              <w:t>1</w:t>
            </w:r>
            <w:r w:rsidR="003E03E9">
              <w:rPr>
                <w:b/>
                <w:u w:val="double"/>
              </w:rPr>
              <w:t>16,277</w:t>
            </w:r>
          </w:p>
        </w:tc>
      </w:tr>
    </w:tbl>
    <w:p w:rsidR="00E51A17" w:rsidRDefault="00E51A17" w:rsidP="00D31D85">
      <w:pPr>
        <w:spacing w:line="276" w:lineRule="auto"/>
      </w:pPr>
    </w:p>
    <w:p w:rsidR="00F55ACA" w:rsidRDefault="00F55ACA" w:rsidP="00535D72">
      <w:pPr>
        <w:spacing w:line="276" w:lineRule="auto"/>
        <w:sectPr w:rsidR="00F55ACA" w:rsidSect="00372422">
          <w:endnotePr>
            <w:numFmt w:val="decimal"/>
          </w:endnotePr>
          <w:pgSz w:w="15840" w:h="12240" w:orient="landscape"/>
          <w:pgMar w:top="1440" w:right="1440" w:bottom="1440" w:left="1440" w:header="720" w:footer="720" w:gutter="0"/>
          <w:cols w:space="720"/>
          <w:docGrid w:linePitch="360"/>
        </w:sectPr>
      </w:pPr>
    </w:p>
    <w:p w:rsidR="00DC2D93" w:rsidRDefault="00DC2D93" w:rsidP="00535D72">
      <w:pPr>
        <w:spacing w:line="276" w:lineRule="auto"/>
      </w:pPr>
    </w:p>
    <w:p w:rsidR="00E51A17" w:rsidRDefault="004422B3" w:rsidP="00951A49">
      <w:pPr>
        <w:spacing w:line="480" w:lineRule="auto"/>
        <w:ind w:firstLine="720"/>
      </w:pPr>
      <w:r>
        <w:t>Scenario</w:t>
      </w:r>
      <w:r w:rsidR="0011340A">
        <w:t xml:space="preserve"> 1 shows the individual will be wealthier (i.e., have a higher ATFV) by </w:t>
      </w:r>
      <w:r w:rsidR="008B11B0">
        <w:t>4</w:t>
      </w:r>
      <w:r w:rsidR="0011340A">
        <w:t>.</w:t>
      </w:r>
      <w:r w:rsidR="008B11B0">
        <w:t>3</w:t>
      </w:r>
      <w:r w:rsidR="0011340A">
        <w:t xml:space="preserve">% </w:t>
      </w:r>
      <w:r w:rsidR="00A03E94">
        <w:t>[</w:t>
      </w:r>
      <w:r w:rsidR="0011340A">
        <w:t>($</w:t>
      </w:r>
      <w:r w:rsidR="00074495">
        <w:t>1</w:t>
      </w:r>
      <w:r w:rsidR="008B11B0">
        <w:t>2</w:t>
      </w:r>
      <w:r w:rsidR="00074495">
        <w:t>1</w:t>
      </w:r>
      <w:r w:rsidR="0011340A">
        <w:t>,</w:t>
      </w:r>
      <w:r w:rsidR="008B11B0">
        <w:t>258</w:t>
      </w:r>
      <w:r w:rsidR="0011340A">
        <w:t xml:space="preserve"> − $</w:t>
      </w:r>
      <w:r w:rsidR="00074495">
        <w:t>1</w:t>
      </w:r>
      <w:r w:rsidR="008B11B0">
        <w:t>16</w:t>
      </w:r>
      <w:r w:rsidR="00074495">
        <w:t>,</w:t>
      </w:r>
      <w:r w:rsidR="008B11B0">
        <w:t>277</w:t>
      </w:r>
      <w:r w:rsidR="0011340A">
        <w:t>) / $</w:t>
      </w:r>
      <w:r w:rsidR="00074495">
        <w:t>1</w:t>
      </w:r>
      <w:r w:rsidR="008B11B0">
        <w:t>16</w:t>
      </w:r>
      <w:r w:rsidR="00074495">
        <w:t>,</w:t>
      </w:r>
      <w:r w:rsidR="008B11B0">
        <w:t>277</w:t>
      </w:r>
      <w:r w:rsidR="00A03E94">
        <w:t>]</w:t>
      </w:r>
      <w:r w:rsidR="0011340A">
        <w:t xml:space="preserve"> if the stock is held inside the </w:t>
      </w:r>
      <w:r w:rsidR="00F72DE3">
        <w:t>TDA</w:t>
      </w:r>
      <w:r w:rsidR="0011340A">
        <w:t xml:space="preserve"> and the bond</w:t>
      </w:r>
      <w:r w:rsidR="00074495">
        <w:t xml:space="preserve"> is held outside in a taxable account.</w:t>
      </w:r>
      <w:r w:rsidR="0034432B">
        <w:rPr>
          <w:rStyle w:val="EndnoteReference"/>
        </w:rPr>
        <w:endnoteReference w:id="12"/>
      </w:r>
      <w:r w:rsidR="0011340A">
        <w:t xml:space="preserve"> </w:t>
      </w:r>
      <w:r w:rsidR="00336823">
        <w:t xml:space="preserve">The intuition </w:t>
      </w:r>
      <w:r w:rsidR="00DC2D93">
        <w:t>behind the conclusion from th</w:t>
      </w:r>
      <w:r w:rsidR="008B11B0">
        <w:t>is</w:t>
      </w:r>
      <w:r w:rsidR="00DC2D93">
        <w:t xml:space="preserve"> scenario </w:t>
      </w:r>
      <w:r w:rsidR="00336823">
        <w:t>is there is a limited amount of money that can be put into retirement accounts</w:t>
      </w:r>
      <w:r w:rsidR="00096B0E">
        <w:t>,</w:t>
      </w:r>
      <w:r w:rsidR="00336823">
        <w:t xml:space="preserve"> so </w:t>
      </w:r>
      <w:r w:rsidR="00096B0E">
        <w:t xml:space="preserve">an investor should </w:t>
      </w:r>
      <w:r w:rsidR="00336823">
        <w:t xml:space="preserve">take the greatest tax advantage possible with such accounts. </w:t>
      </w:r>
      <w:r w:rsidR="008F3AE4">
        <w:t xml:space="preserve">The </w:t>
      </w:r>
      <w:r w:rsidR="0047675B">
        <w:t xml:space="preserve">mutual fund of </w:t>
      </w:r>
      <w:r w:rsidR="008F3AE4">
        <w:t>stock</w:t>
      </w:r>
      <w:r w:rsidR="0047675B">
        <w:t>s</w:t>
      </w:r>
      <w:r w:rsidR="008F3AE4">
        <w:t xml:space="preserve"> whose return consists </w:t>
      </w:r>
      <w:r w:rsidR="0047675B">
        <w:t xml:space="preserve">partly </w:t>
      </w:r>
      <w:r w:rsidR="008F3AE4">
        <w:t xml:space="preserve">of </w:t>
      </w:r>
      <w:r w:rsidR="00BA53FD">
        <w:t xml:space="preserve">qualified </w:t>
      </w:r>
      <w:r w:rsidR="008F3AE4">
        <w:t xml:space="preserve">dividends and </w:t>
      </w:r>
      <w:r w:rsidR="0047675B">
        <w:t xml:space="preserve">partly of long-term </w:t>
      </w:r>
      <w:r w:rsidR="008F3AE4">
        <w:t xml:space="preserve">capital gain </w:t>
      </w:r>
      <w:r w:rsidR="0047675B">
        <w:t xml:space="preserve">when it is sold in 20 years </w:t>
      </w:r>
      <w:r w:rsidR="008F3AE4">
        <w:t xml:space="preserve">is subject to </w:t>
      </w:r>
      <w:r w:rsidR="0047675B">
        <w:t xml:space="preserve">a small amount of tax </w:t>
      </w:r>
      <w:r w:rsidR="008F3AE4">
        <w:t xml:space="preserve">annually </w:t>
      </w:r>
      <w:r w:rsidR="0047675B">
        <w:t>and a significant amount when sold</w:t>
      </w:r>
      <w:r w:rsidR="00D250F4">
        <w:t>,</w:t>
      </w:r>
      <w:r w:rsidR="0047675B">
        <w:t xml:space="preserve"> </w:t>
      </w:r>
      <w:r w:rsidR="008F3AE4">
        <w:t>so having this high</w:t>
      </w:r>
      <w:r w:rsidR="00D250F4">
        <w:t>-</w:t>
      </w:r>
      <w:r w:rsidR="008F3AE4">
        <w:t>return (</w:t>
      </w:r>
      <w:r w:rsidR="0047675B">
        <w:t>R = 8</w:t>
      </w:r>
      <w:r w:rsidR="008F3AE4">
        <w:t xml:space="preserve">%) investment inside the retirement account avoids </w:t>
      </w:r>
      <w:r w:rsidR="00BA53FD">
        <w:t>a lot of tax.</w:t>
      </w:r>
      <w:r w:rsidR="006468DD">
        <w:rPr>
          <w:rStyle w:val="EndnoteReference"/>
        </w:rPr>
        <w:endnoteReference w:id="13"/>
      </w:r>
      <w:r w:rsidR="008F3AE4">
        <w:t xml:space="preserve"> </w:t>
      </w:r>
    </w:p>
    <w:p w:rsidR="002B124A" w:rsidRDefault="002B124A" w:rsidP="0027184B">
      <w:pPr>
        <w:spacing w:line="480" w:lineRule="auto"/>
        <w:rPr>
          <w:i/>
        </w:rPr>
      </w:pPr>
    </w:p>
    <w:p w:rsidR="009671FA" w:rsidRPr="00DC2D93" w:rsidRDefault="009671FA" w:rsidP="0027184B">
      <w:pPr>
        <w:spacing w:line="480" w:lineRule="auto"/>
        <w:rPr>
          <w:b/>
        </w:rPr>
      </w:pPr>
      <w:r w:rsidRPr="00DC2D93">
        <w:rPr>
          <w:b/>
        </w:rPr>
        <w:t>Further Analysis</w:t>
      </w:r>
      <w:r w:rsidR="00D250F4">
        <w:rPr>
          <w:b/>
        </w:rPr>
        <w:t xml:space="preserve">: </w:t>
      </w:r>
      <w:r w:rsidR="00DC2D93" w:rsidRPr="00DC2D93">
        <w:rPr>
          <w:b/>
        </w:rPr>
        <w:t>T</w:t>
      </w:r>
      <w:r w:rsidR="00D43180" w:rsidRPr="00DC2D93">
        <w:rPr>
          <w:b/>
        </w:rPr>
        <w:t xml:space="preserve">ax </w:t>
      </w:r>
      <w:r w:rsidR="00DC2D93" w:rsidRPr="00DC2D93">
        <w:rPr>
          <w:b/>
        </w:rPr>
        <w:t>R</w:t>
      </w:r>
      <w:r w:rsidR="00D43180" w:rsidRPr="00DC2D93">
        <w:rPr>
          <w:b/>
        </w:rPr>
        <w:t xml:space="preserve">ate </w:t>
      </w:r>
      <w:r w:rsidR="00917CC1">
        <w:rPr>
          <w:b/>
        </w:rPr>
        <w:t xml:space="preserve">Changing </w:t>
      </w:r>
      <w:r w:rsidR="00DC2D93" w:rsidRPr="00DC2D93">
        <w:rPr>
          <w:b/>
        </w:rPr>
        <w:t>A</w:t>
      </w:r>
      <w:r w:rsidR="00D43180" w:rsidRPr="00DC2D93">
        <w:rPr>
          <w:b/>
        </w:rPr>
        <w:t xml:space="preserve">fter n </w:t>
      </w:r>
      <w:r w:rsidR="00DC2D93" w:rsidRPr="00DC2D93">
        <w:rPr>
          <w:b/>
        </w:rPr>
        <w:t>Y</w:t>
      </w:r>
      <w:r w:rsidR="00D43180" w:rsidRPr="00DC2D93">
        <w:rPr>
          <w:b/>
        </w:rPr>
        <w:t>ears</w:t>
      </w:r>
    </w:p>
    <w:p w:rsidR="008F3D89" w:rsidRDefault="008F3D89" w:rsidP="0027184B">
      <w:pPr>
        <w:spacing w:line="480" w:lineRule="auto"/>
      </w:pPr>
    </w:p>
    <w:p w:rsidR="009671FA" w:rsidRPr="009671FA" w:rsidRDefault="0047675B" w:rsidP="00951A49">
      <w:pPr>
        <w:spacing w:line="480" w:lineRule="auto"/>
        <w:ind w:firstLine="720"/>
      </w:pPr>
      <w:r>
        <w:t xml:space="preserve">The next scenario uses the same facts </w:t>
      </w:r>
      <w:r w:rsidR="00D81D15">
        <w:t>but</w:t>
      </w:r>
      <w:r w:rsidR="008F3D89">
        <w:t xml:space="preserve"> r</w:t>
      </w:r>
      <w:r w:rsidR="009671FA">
        <w:t>elax</w:t>
      </w:r>
      <w:r>
        <w:t>es</w:t>
      </w:r>
      <w:r w:rsidR="009671FA">
        <w:t xml:space="preserve"> the assumption that t = </w:t>
      </w:r>
      <w:proofErr w:type="gramStart"/>
      <w:r w:rsidR="009671FA">
        <w:t>t</w:t>
      </w:r>
      <w:r w:rsidR="009671FA">
        <w:rPr>
          <w:vertAlign w:val="subscript"/>
        </w:rPr>
        <w:t>n</w:t>
      </w:r>
      <w:proofErr w:type="gramEnd"/>
      <w:r w:rsidR="009671FA">
        <w:t xml:space="preserve">. </w:t>
      </w:r>
      <w:r>
        <w:t xml:space="preserve">The </w:t>
      </w:r>
      <w:r w:rsidR="009671FA">
        <w:t>assum</w:t>
      </w:r>
      <w:r>
        <w:t>ption</w:t>
      </w:r>
      <w:r w:rsidR="009671FA">
        <w:t xml:space="preserve"> that t = 25%</w:t>
      </w:r>
      <w:r>
        <w:t xml:space="preserve"> remains </w:t>
      </w:r>
      <w:r w:rsidR="009671FA">
        <w:t>but now</w:t>
      </w:r>
      <w:r w:rsidR="00917CC1">
        <w:t>, in scenario 2,</w:t>
      </w:r>
      <w:r w:rsidR="009671FA">
        <w:t xml:space="preserve"> </w:t>
      </w:r>
      <w:proofErr w:type="gramStart"/>
      <w:r w:rsidR="009671FA">
        <w:t>t</w:t>
      </w:r>
      <w:r w:rsidR="009671FA">
        <w:rPr>
          <w:vertAlign w:val="subscript"/>
        </w:rPr>
        <w:t>n</w:t>
      </w:r>
      <w:proofErr w:type="gramEnd"/>
      <w:r w:rsidR="009671FA">
        <w:t xml:space="preserve"> = </w:t>
      </w:r>
      <w:r w:rsidR="001C1ABD">
        <w:t>15</w:t>
      </w:r>
      <w:r w:rsidR="009671FA">
        <w:t xml:space="preserve">%. </w:t>
      </w:r>
      <w:r w:rsidR="001C1ABD">
        <w:t xml:space="preserve">This is consistent with the individual being retired from work and the resulting </w:t>
      </w:r>
      <w:r w:rsidR="00294584">
        <w:t xml:space="preserve">drop in </w:t>
      </w:r>
      <w:r w:rsidR="001C1ABD">
        <w:t xml:space="preserve">income </w:t>
      </w:r>
      <w:r w:rsidR="00294584">
        <w:t xml:space="preserve">reducing </w:t>
      </w:r>
      <w:r w:rsidR="00E84E35">
        <w:t xml:space="preserve">that individual’s </w:t>
      </w:r>
      <w:r w:rsidR="00294584">
        <w:t>tax bracket</w:t>
      </w:r>
      <w:r w:rsidR="001C1ABD">
        <w:t xml:space="preserve">. </w:t>
      </w:r>
      <w:r w:rsidR="009671FA">
        <w:t xml:space="preserve">Since </w:t>
      </w:r>
      <w:proofErr w:type="gramStart"/>
      <w:r w:rsidR="009671FA">
        <w:t>t</w:t>
      </w:r>
      <w:r w:rsidR="009671FA">
        <w:rPr>
          <w:vertAlign w:val="subscript"/>
        </w:rPr>
        <w:t>n</w:t>
      </w:r>
      <w:proofErr w:type="gramEnd"/>
      <w:r w:rsidR="009671FA">
        <w:t xml:space="preserve"> </w:t>
      </w:r>
      <w:r>
        <w:t xml:space="preserve">is </w:t>
      </w:r>
      <w:r w:rsidR="001C1ABD">
        <w:t xml:space="preserve">below 25%, </w:t>
      </w:r>
      <w:r w:rsidR="00DC2D93">
        <w:t>consisten</w:t>
      </w:r>
      <w:r w:rsidR="009671FA">
        <w:t>t</w:t>
      </w:r>
      <w:r w:rsidR="00DC2D93">
        <w:t xml:space="preserve"> with current tax law</w:t>
      </w:r>
      <w:r>
        <w:t xml:space="preserve"> it is also assumed </w:t>
      </w:r>
      <w:r w:rsidR="00DC2D93">
        <w:t>that</w:t>
      </w:r>
      <w:r w:rsidR="009671FA">
        <w:t xml:space="preserve"> g</w:t>
      </w:r>
      <w:r w:rsidR="009671FA">
        <w:rPr>
          <w:vertAlign w:val="subscript"/>
        </w:rPr>
        <w:t>n</w:t>
      </w:r>
      <w:r w:rsidR="009671FA">
        <w:t xml:space="preserve"> = </w:t>
      </w:r>
      <w:r w:rsidR="001C1ABD">
        <w:t>0</w:t>
      </w:r>
      <w:r w:rsidR="009671FA">
        <w:t>%</w:t>
      </w:r>
      <w:r w:rsidR="00294584">
        <w:t>,</w:t>
      </w:r>
      <w:r w:rsidR="00D81D15">
        <w:t xml:space="preserve"> instead of 15%.</w:t>
      </w:r>
      <w:r>
        <w:rPr>
          <w:rStyle w:val="EndnoteReference"/>
        </w:rPr>
        <w:endnoteReference w:id="14"/>
      </w:r>
      <w:r w:rsidR="009671FA">
        <w:t xml:space="preserve">  Returning to </w:t>
      </w:r>
      <w:r w:rsidR="005D73A2">
        <w:t>s</w:t>
      </w:r>
      <w:r w:rsidR="004422B3">
        <w:t>cenario</w:t>
      </w:r>
      <w:r w:rsidR="009671FA">
        <w:t xml:space="preserve"> </w:t>
      </w:r>
      <w:r w:rsidR="00B73083">
        <w:t>1’</w:t>
      </w:r>
      <w:r w:rsidR="009671FA">
        <w:t xml:space="preserve">s </w:t>
      </w:r>
      <w:r w:rsidR="00917CC1">
        <w:t>facts</w:t>
      </w:r>
      <w:r w:rsidR="00C27D8B">
        <w:t>,</w:t>
      </w:r>
      <w:r w:rsidR="009671FA">
        <w:t xml:space="preserve"> but with the new percentage</w:t>
      </w:r>
      <w:r w:rsidR="00D81D15">
        <w:t>s</w:t>
      </w:r>
      <w:r w:rsidR="009671FA">
        <w:t xml:space="preserve"> for </w:t>
      </w:r>
      <w:proofErr w:type="gramStart"/>
      <w:r w:rsidR="009671FA">
        <w:t>t</w:t>
      </w:r>
      <w:r w:rsidR="009671FA">
        <w:rPr>
          <w:vertAlign w:val="subscript"/>
        </w:rPr>
        <w:t>n</w:t>
      </w:r>
      <w:proofErr w:type="gramEnd"/>
      <w:r w:rsidR="00D81D15">
        <w:t xml:space="preserve"> and g</w:t>
      </w:r>
      <w:r w:rsidR="00D81D15">
        <w:rPr>
          <w:vertAlign w:val="subscript"/>
        </w:rPr>
        <w:t>n</w:t>
      </w:r>
      <w:r w:rsidR="009671FA">
        <w:t xml:space="preserve">, </w:t>
      </w:r>
      <w:r w:rsidR="00D81D15">
        <w:t xml:space="preserve">the results </w:t>
      </w:r>
      <w:r w:rsidR="00294584">
        <w:t>for</w:t>
      </w:r>
      <w:r w:rsidR="005E1209">
        <w:t xml:space="preserve"> </w:t>
      </w:r>
      <w:r w:rsidR="005D73A2">
        <w:t>s</w:t>
      </w:r>
      <w:r w:rsidR="004422B3">
        <w:t>cenario</w:t>
      </w:r>
      <w:r w:rsidR="005E1209">
        <w:t xml:space="preserve"> </w:t>
      </w:r>
      <w:r w:rsidR="00917CC1">
        <w:t>2</w:t>
      </w:r>
      <w:r w:rsidR="00D81D15">
        <w:t xml:space="preserve"> </w:t>
      </w:r>
      <w:r w:rsidR="00294584">
        <w:t xml:space="preserve">are </w:t>
      </w:r>
      <w:r w:rsidR="00E84E35">
        <w:t>the following</w:t>
      </w:r>
      <w:r w:rsidR="009671FA">
        <w:t>:</w:t>
      </w:r>
    </w:p>
    <w:p w:rsidR="00B65EE6" w:rsidRDefault="00B65EE6" w:rsidP="00F37708">
      <w:pPr>
        <w:spacing w:after="200"/>
        <w:jc w:val="center"/>
        <w:rPr>
          <w:b/>
        </w:rPr>
        <w:sectPr w:rsidR="00B65EE6" w:rsidSect="00372422">
          <w:endnotePr>
            <w:numFmt w:val="decimal"/>
          </w:endnotePr>
          <w:pgSz w:w="12240" w:h="15840"/>
          <w:pgMar w:top="1440" w:right="1440" w:bottom="1440" w:left="1440" w:header="720" w:footer="720" w:gutter="0"/>
          <w:cols w:space="720"/>
          <w:docGrid w:linePitch="360"/>
        </w:sectPr>
      </w:pPr>
    </w:p>
    <w:p w:rsidR="00917CC1" w:rsidRDefault="00917CC1" w:rsidP="00F37708">
      <w:pPr>
        <w:spacing w:after="200"/>
        <w:jc w:val="center"/>
        <w:rPr>
          <w:b/>
        </w:rPr>
      </w:pPr>
    </w:p>
    <w:p w:rsidR="00155AAF" w:rsidRPr="005E1209" w:rsidRDefault="004422B3" w:rsidP="00155AAF">
      <w:pPr>
        <w:spacing w:line="276" w:lineRule="auto"/>
        <w:jc w:val="center"/>
      </w:pPr>
      <w:r>
        <w:rPr>
          <w:b/>
        </w:rPr>
        <w:t>S</w:t>
      </w:r>
      <w:r w:rsidR="00E84E35">
        <w:rPr>
          <w:b/>
        </w:rPr>
        <w:t>cenario</w:t>
      </w:r>
      <w:r w:rsidR="00155AAF">
        <w:rPr>
          <w:b/>
        </w:rPr>
        <w:t xml:space="preserve"> </w:t>
      </w:r>
      <w:r w:rsidR="001C1ABD">
        <w:rPr>
          <w:b/>
        </w:rPr>
        <w:t>2</w:t>
      </w:r>
      <w:r w:rsidR="00155AAF">
        <w:rPr>
          <w:b/>
        </w:rPr>
        <w:t>:</w:t>
      </w:r>
      <w:r w:rsidR="00CB2DD9">
        <w:rPr>
          <w:b/>
        </w:rPr>
        <w:t xml:space="preserve"> </w:t>
      </w:r>
      <w:r w:rsidR="00155AAF">
        <w:rPr>
          <w:b/>
        </w:rPr>
        <w:t xml:space="preserve">n = </w:t>
      </w:r>
      <w:r w:rsidR="00155AAF" w:rsidRPr="00155AAF">
        <w:rPr>
          <w:b/>
        </w:rPr>
        <w:t>20</w:t>
      </w:r>
      <w:r w:rsidR="00155AAF">
        <w:rPr>
          <w:b/>
        </w:rPr>
        <w:t>; R</w:t>
      </w:r>
      <w:r w:rsidR="00767756">
        <w:rPr>
          <w:b/>
          <w:vertAlign w:val="subscript"/>
        </w:rPr>
        <w:t>S</w:t>
      </w:r>
      <w:r w:rsidR="00155AAF">
        <w:rPr>
          <w:b/>
        </w:rPr>
        <w:t xml:space="preserve"> = </w:t>
      </w:r>
      <w:r w:rsidR="00CB2DD9">
        <w:rPr>
          <w:b/>
        </w:rPr>
        <w:t>8</w:t>
      </w:r>
      <w:r w:rsidR="00155AAF">
        <w:rPr>
          <w:b/>
        </w:rPr>
        <w:t>%; R</w:t>
      </w:r>
      <w:r w:rsidR="00767756">
        <w:rPr>
          <w:b/>
          <w:vertAlign w:val="subscript"/>
        </w:rPr>
        <w:t>B</w:t>
      </w:r>
      <w:r w:rsidR="00155AAF">
        <w:rPr>
          <w:b/>
        </w:rPr>
        <w:t xml:space="preserve"> = </w:t>
      </w:r>
      <w:r w:rsidR="00CB2DD9">
        <w:rPr>
          <w:b/>
        </w:rPr>
        <w:t>4</w:t>
      </w:r>
      <w:r w:rsidR="00155AAF" w:rsidRPr="000C3482">
        <w:rPr>
          <w:b/>
        </w:rPr>
        <w:t>%</w:t>
      </w:r>
      <w:r w:rsidR="00155AAF">
        <w:rPr>
          <w:b/>
        </w:rPr>
        <w:t xml:space="preserve">; t = 25%; g = 15%; </w:t>
      </w:r>
      <w:proofErr w:type="gramStart"/>
      <w:r w:rsidR="00155AAF" w:rsidRPr="00FE78A4">
        <w:rPr>
          <w:b/>
          <w:u w:val="single"/>
        </w:rPr>
        <w:t>t</w:t>
      </w:r>
      <w:r w:rsidR="00155AAF" w:rsidRPr="00FE78A4">
        <w:rPr>
          <w:b/>
          <w:u w:val="single"/>
          <w:vertAlign w:val="subscript"/>
        </w:rPr>
        <w:t>n</w:t>
      </w:r>
      <w:proofErr w:type="gramEnd"/>
      <w:r w:rsidR="00155AAF" w:rsidRPr="00FE78A4">
        <w:rPr>
          <w:b/>
          <w:u w:val="single"/>
        </w:rPr>
        <w:t xml:space="preserve"> = 15%; g</w:t>
      </w:r>
      <w:r w:rsidR="00155AAF" w:rsidRPr="00FE78A4">
        <w:rPr>
          <w:b/>
          <w:u w:val="single"/>
          <w:vertAlign w:val="subscript"/>
        </w:rPr>
        <w:t>n</w:t>
      </w:r>
      <w:r w:rsidR="00155AAF" w:rsidRPr="00FE78A4">
        <w:rPr>
          <w:b/>
          <w:u w:val="single"/>
        </w:rPr>
        <w:t xml:space="preserve"> = 0%</w:t>
      </w:r>
    </w:p>
    <w:p w:rsidR="00155AAF" w:rsidRDefault="00155AAF" w:rsidP="00155AAF">
      <w:pPr>
        <w:spacing w:line="276" w:lineRule="auto"/>
      </w:pPr>
    </w:p>
    <w:p w:rsidR="00155AAF" w:rsidRPr="00E51A17" w:rsidRDefault="000B79CE" w:rsidP="00155AAF">
      <w:pPr>
        <w:spacing w:line="276" w:lineRule="auto"/>
        <w:rPr>
          <w:b/>
        </w:rPr>
      </w:pPr>
      <w:r>
        <w:rPr>
          <w:b/>
        </w:rPr>
        <w:t>Stock</w:t>
      </w:r>
      <w:r w:rsidR="00051867">
        <w:rPr>
          <w:b/>
        </w:rPr>
        <w:t>s</w:t>
      </w:r>
      <w:r>
        <w:rPr>
          <w:b/>
        </w:rPr>
        <w:t xml:space="preserve"> </w:t>
      </w:r>
      <w:proofErr w:type="gramStart"/>
      <w:r>
        <w:rPr>
          <w:b/>
        </w:rPr>
        <w:t>In</w:t>
      </w:r>
      <w:proofErr w:type="gramEnd"/>
      <w:r>
        <w:rPr>
          <w:b/>
        </w:rPr>
        <w:t xml:space="preserve"> – Bond</w:t>
      </w:r>
      <w:r w:rsidR="00051867">
        <w:rPr>
          <w:b/>
        </w:rPr>
        <w:t>s</w:t>
      </w:r>
      <w:r>
        <w:rPr>
          <w:b/>
        </w:rPr>
        <w:t xml:space="preserve"> Out</w:t>
      </w:r>
      <w:r w:rsidRPr="00E51A17">
        <w:rPr>
          <w:b/>
        </w:rPr>
        <w:t>:</w:t>
      </w:r>
      <w:r>
        <w:rPr>
          <w:b/>
        </w:rPr>
        <w:t xml:space="preserve"> </w:t>
      </w:r>
      <w:r>
        <w:rPr>
          <w:b/>
        </w:rPr>
        <w:tab/>
      </w:r>
      <w:r>
        <w:rPr>
          <w:b/>
        </w:rPr>
        <w:tab/>
      </w:r>
      <w:r>
        <w:rPr>
          <w:b/>
        </w:rPr>
        <w:tab/>
      </w:r>
      <w:r>
        <w:rPr>
          <w:b/>
        </w:rPr>
        <w:tab/>
      </w:r>
      <w:r w:rsidR="00155AAF">
        <w:rPr>
          <w:b/>
        </w:rPr>
        <w:t xml:space="preserve"> </w:t>
      </w:r>
      <w:r w:rsidR="00155AAF">
        <w:rPr>
          <w:b/>
        </w:rPr>
        <w:tab/>
      </w:r>
      <w:r w:rsidR="00155AAF">
        <w:rPr>
          <w:b/>
        </w:rPr>
        <w:tab/>
      </w:r>
      <w:r w:rsidR="00155AAF">
        <w:rPr>
          <w:b/>
        </w:rPr>
        <w:tab/>
      </w:r>
      <w:r w:rsidR="00155AAF">
        <w:rPr>
          <w:b/>
        </w:rPr>
        <w:tab/>
      </w:r>
    </w:p>
    <w:tbl>
      <w:tblPr>
        <w:tblW w:w="12330" w:type="dxa"/>
        <w:tblInd w:w="840" w:type="dxa"/>
        <w:tblLayout w:type="fixed"/>
        <w:tblCellMar>
          <w:left w:w="120" w:type="dxa"/>
          <w:right w:w="120" w:type="dxa"/>
        </w:tblCellMar>
        <w:tblLook w:val="04A0" w:firstRow="1" w:lastRow="0" w:firstColumn="1" w:lastColumn="0" w:noHBand="0" w:noVBand="1"/>
      </w:tblPr>
      <w:tblGrid>
        <w:gridCol w:w="6660"/>
        <w:gridCol w:w="4140"/>
        <w:gridCol w:w="1530"/>
      </w:tblGrid>
      <w:tr w:rsidR="00155AAF" w:rsidRPr="00E51A17" w:rsidTr="00B65EE6">
        <w:trPr>
          <w:tblHeader/>
        </w:trPr>
        <w:tc>
          <w:tcPr>
            <w:tcW w:w="6660" w:type="dxa"/>
          </w:tcPr>
          <w:p w:rsidR="00155AAF" w:rsidRPr="00E51A17" w:rsidRDefault="00155AAF" w:rsidP="00DC2F30">
            <w:pPr>
              <w:spacing w:line="276" w:lineRule="auto"/>
              <w:rPr>
                <w:b/>
              </w:rPr>
            </w:pPr>
          </w:p>
          <w:p w:rsidR="00155AAF" w:rsidRPr="00E51A17" w:rsidRDefault="00155AAF" w:rsidP="00AE2AB2">
            <w:pPr>
              <w:spacing w:line="276" w:lineRule="auto"/>
              <w:rPr>
                <w:b/>
              </w:rPr>
            </w:pPr>
            <w:r w:rsidRPr="00E51A17">
              <w:rPr>
                <w:b/>
              </w:rPr>
              <w:t>Stock</w:t>
            </w:r>
            <w:r w:rsidR="00051867">
              <w:rPr>
                <w:b/>
              </w:rPr>
              <w:t>s</w:t>
            </w:r>
            <w:r w:rsidRPr="00E51A17">
              <w:rPr>
                <w:b/>
              </w:rPr>
              <w:t xml:space="preserve"> in </w:t>
            </w:r>
            <w:r w:rsidR="00402C23">
              <w:rPr>
                <w:b/>
              </w:rPr>
              <w:t>TDA</w:t>
            </w:r>
            <w:r>
              <w:rPr>
                <w:b/>
              </w:rPr>
              <w:t xml:space="preserve"> (</w:t>
            </w:r>
            <w:r w:rsidR="00AE2AB2">
              <w:rPr>
                <w:b/>
              </w:rPr>
              <w:t>m</w:t>
            </w:r>
            <w:r w:rsidRPr="00E51A17">
              <w:rPr>
                <w:b/>
              </w:rPr>
              <w:t xml:space="preserve">odel </w:t>
            </w:r>
            <w:r>
              <w:rPr>
                <w:b/>
              </w:rPr>
              <w:t>4</w:t>
            </w:r>
            <w:r w:rsidRPr="00E51A17">
              <w:rPr>
                <w:b/>
              </w:rPr>
              <w:t>)</w:t>
            </w:r>
          </w:p>
        </w:tc>
        <w:tc>
          <w:tcPr>
            <w:tcW w:w="4140" w:type="dxa"/>
          </w:tcPr>
          <w:p w:rsidR="00155AAF" w:rsidRPr="00E51A17" w:rsidRDefault="00155AAF" w:rsidP="00DC2F30">
            <w:pPr>
              <w:spacing w:line="276" w:lineRule="auto"/>
              <w:rPr>
                <w:b/>
              </w:rPr>
            </w:pPr>
          </w:p>
          <w:p w:rsidR="00155AAF" w:rsidRPr="00E51A17" w:rsidRDefault="00155AAF" w:rsidP="00CB2DD9">
            <w:pPr>
              <w:spacing w:line="276" w:lineRule="auto"/>
              <w:rPr>
                <w:b/>
              </w:rPr>
            </w:pPr>
            <w:r w:rsidRPr="00E51A17">
              <w:rPr>
                <w:b/>
              </w:rPr>
              <w:t>$</w:t>
            </w:r>
            <w:r>
              <w:rPr>
                <w:b/>
              </w:rPr>
              <w:t>25</w:t>
            </w:r>
            <w:r w:rsidRPr="00E51A17">
              <w:rPr>
                <w:b/>
              </w:rPr>
              <w:t>,000(1.</w:t>
            </w:r>
            <w:r w:rsidR="00CB2DD9">
              <w:rPr>
                <w:b/>
              </w:rPr>
              <w:t>08</w:t>
            </w:r>
            <w:r w:rsidRPr="00E51A17">
              <w:rPr>
                <w:b/>
              </w:rPr>
              <w:t>)</w:t>
            </w:r>
            <w:r>
              <w:rPr>
                <w:b/>
                <w:vertAlign w:val="superscript"/>
              </w:rPr>
              <w:t>2</w:t>
            </w:r>
            <w:r w:rsidRPr="00E51A17">
              <w:rPr>
                <w:b/>
                <w:vertAlign w:val="superscript"/>
              </w:rPr>
              <w:t>0</w:t>
            </w:r>
            <w:r w:rsidRPr="00E51A17">
              <w:rPr>
                <w:b/>
              </w:rPr>
              <w:t>(1 − .</w:t>
            </w:r>
            <w:r>
              <w:rPr>
                <w:b/>
              </w:rPr>
              <w:t>15</w:t>
            </w:r>
            <w:r w:rsidRPr="00E51A17">
              <w:rPr>
                <w:b/>
              </w:rPr>
              <w:t>)</w:t>
            </w:r>
          </w:p>
        </w:tc>
        <w:tc>
          <w:tcPr>
            <w:tcW w:w="1530" w:type="dxa"/>
          </w:tcPr>
          <w:p w:rsidR="00155AAF" w:rsidRPr="00E51A17" w:rsidRDefault="00155AAF" w:rsidP="00DC2F30">
            <w:pPr>
              <w:spacing w:line="276" w:lineRule="auto"/>
              <w:rPr>
                <w:b/>
              </w:rPr>
            </w:pPr>
          </w:p>
          <w:p w:rsidR="00155AAF" w:rsidRPr="00E51A17" w:rsidRDefault="00A03E94" w:rsidP="009E4EF8">
            <w:pPr>
              <w:spacing w:line="276" w:lineRule="auto"/>
              <w:rPr>
                <w:b/>
              </w:rPr>
            </w:pPr>
            <w:r>
              <w:rPr>
                <w:b/>
              </w:rPr>
              <w:t xml:space="preserve">  </w:t>
            </w:r>
            <w:r w:rsidR="00155AAF" w:rsidRPr="00E51A17">
              <w:rPr>
                <w:b/>
              </w:rPr>
              <w:t>$</w:t>
            </w:r>
            <w:r w:rsidR="00CB2DD9">
              <w:rPr>
                <w:b/>
              </w:rPr>
              <w:t>99</w:t>
            </w:r>
            <w:r w:rsidR="00155AAF">
              <w:rPr>
                <w:b/>
              </w:rPr>
              <w:t>,</w:t>
            </w:r>
            <w:r w:rsidR="00CB2DD9">
              <w:rPr>
                <w:b/>
              </w:rPr>
              <w:t>045</w:t>
            </w:r>
          </w:p>
        </w:tc>
      </w:tr>
      <w:tr w:rsidR="00155AAF" w:rsidRPr="00E51A17" w:rsidTr="00B65EE6">
        <w:tc>
          <w:tcPr>
            <w:tcW w:w="6660" w:type="dxa"/>
          </w:tcPr>
          <w:p w:rsidR="00155AAF" w:rsidRPr="00E51A17" w:rsidRDefault="00155AAF" w:rsidP="00DC2F30">
            <w:pPr>
              <w:spacing w:line="276" w:lineRule="auto"/>
              <w:rPr>
                <w:b/>
              </w:rPr>
            </w:pPr>
          </w:p>
          <w:p w:rsidR="00155AAF" w:rsidRPr="00E51A17" w:rsidRDefault="00155AAF" w:rsidP="00AE2AB2">
            <w:pPr>
              <w:spacing w:line="276" w:lineRule="auto"/>
              <w:rPr>
                <w:b/>
              </w:rPr>
            </w:pPr>
            <w:r w:rsidRPr="00E51A17">
              <w:rPr>
                <w:b/>
              </w:rPr>
              <w:t>Bond</w:t>
            </w:r>
            <w:r w:rsidR="00051867">
              <w:rPr>
                <w:b/>
              </w:rPr>
              <w:t>s</w:t>
            </w:r>
            <w:r w:rsidRPr="00E51A17">
              <w:rPr>
                <w:b/>
              </w:rPr>
              <w:t xml:space="preserve"> </w:t>
            </w:r>
            <w:r>
              <w:rPr>
                <w:b/>
              </w:rPr>
              <w:t>in taxable account</w:t>
            </w:r>
            <w:r w:rsidRPr="00E51A17">
              <w:rPr>
                <w:b/>
              </w:rPr>
              <w:t xml:space="preserve"> (</w:t>
            </w:r>
            <w:r w:rsidR="00AE2AB2">
              <w:rPr>
                <w:b/>
              </w:rPr>
              <w:t>m</w:t>
            </w:r>
            <w:r w:rsidRPr="00E51A17">
              <w:rPr>
                <w:b/>
              </w:rPr>
              <w:t>odel 1)</w:t>
            </w:r>
          </w:p>
        </w:tc>
        <w:tc>
          <w:tcPr>
            <w:tcW w:w="4140" w:type="dxa"/>
          </w:tcPr>
          <w:p w:rsidR="00155AAF" w:rsidRPr="00E51A17" w:rsidRDefault="00155AAF" w:rsidP="00DC2F30">
            <w:pPr>
              <w:spacing w:line="276" w:lineRule="auto"/>
              <w:rPr>
                <w:b/>
              </w:rPr>
            </w:pPr>
          </w:p>
          <w:p w:rsidR="00155AAF" w:rsidRPr="00E51A17" w:rsidRDefault="00155AAF" w:rsidP="00CB2DD9">
            <w:pPr>
              <w:spacing w:line="276" w:lineRule="auto"/>
              <w:rPr>
                <w:b/>
              </w:rPr>
            </w:pPr>
            <w:r w:rsidRPr="00E51A17">
              <w:rPr>
                <w:b/>
              </w:rPr>
              <w:t>$</w:t>
            </w:r>
            <w:r>
              <w:rPr>
                <w:b/>
              </w:rPr>
              <w:t>18,75</w:t>
            </w:r>
            <w:r w:rsidRPr="00E51A17">
              <w:rPr>
                <w:b/>
              </w:rPr>
              <w:t>0 (1</w:t>
            </w:r>
            <w:r w:rsidR="006E3E9B">
              <w:rPr>
                <w:b/>
              </w:rPr>
              <w:t xml:space="preserve"> </w:t>
            </w:r>
            <w:r>
              <w:rPr>
                <w:b/>
              </w:rPr>
              <w:t>+</w:t>
            </w:r>
            <w:r w:rsidR="006E3E9B">
              <w:rPr>
                <w:b/>
              </w:rPr>
              <w:t xml:space="preserve"> </w:t>
            </w:r>
            <w:r w:rsidRPr="00E51A17">
              <w:rPr>
                <w:b/>
              </w:rPr>
              <w:t>.0</w:t>
            </w:r>
            <w:r w:rsidR="00CB2DD9">
              <w:rPr>
                <w:b/>
              </w:rPr>
              <w:t>4</w:t>
            </w:r>
            <w:r>
              <w:rPr>
                <w:b/>
              </w:rPr>
              <w:t>(1</w:t>
            </w:r>
            <w:r w:rsidR="000658FB">
              <w:rPr>
                <w:b/>
              </w:rPr>
              <w:t xml:space="preserve"> </w:t>
            </w:r>
            <w:r w:rsidRPr="00E51A17">
              <w:rPr>
                <w:b/>
              </w:rPr>
              <w:t>− .</w:t>
            </w:r>
            <w:r>
              <w:rPr>
                <w:b/>
              </w:rPr>
              <w:t>25</w:t>
            </w:r>
            <w:r w:rsidRPr="00E51A17">
              <w:rPr>
                <w:b/>
              </w:rPr>
              <w:t>))</w:t>
            </w:r>
            <w:r>
              <w:rPr>
                <w:b/>
                <w:vertAlign w:val="superscript"/>
              </w:rPr>
              <w:t>2</w:t>
            </w:r>
            <w:r w:rsidRPr="00E51A17">
              <w:rPr>
                <w:b/>
                <w:vertAlign w:val="superscript"/>
              </w:rPr>
              <w:t>0</w:t>
            </w:r>
          </w:p>
        </w:tc>
        <w:tc>
          <w:tcPr>
            <w:tcW w:w="1530" w:type="dxa"/>
          </w:tcPr>
          <w:p w:rsidR="00155AAF" w:rsidRPr="00E51A17" w:rsidRDefault="00155AAF" w:rsidP="00DC2F30">
            <w:pPr>
              <w:spacing w:line="276" w:lineRule="auto"/>
              <w:rPr>
                <w:b/>
              </w:rPr>
            </w:pPr>
          </w:p>
          <w:p w:rsidR="00155AAF" w:rsidRPr="00E51A17" w:rsidRDefault="00155AAF" w:rsidP="00DC2F30">
            <w:pPr>
              <w:spacing w:line="276" w:lineRule="auto"/>
              <w:rPr>
                <w:b/>
              </w:rPr>
            </w:pPr>
            <w:r w:rsidRPr="00E51A17">
              <w:rPr>
                <w:b/>
                <w:u w:val="single"/>
              </w:rPr>
              <w:t xml:space="preserve"> </w:t>
            </w:r>
            <w:r>
              <w:rPr>
                <w:b/>
                <w:u w:val="single"/>
              </w:rPr>
              <w:t xml:space="preserve">  </w:t>
            </w:r>
            <w:r w:rsidR="00CB2DD9">
              <w:rPr>
                <w:b/>
                <w:u w:val="single"/>
              </w:rPr>
              <w:t xml:space="preserve"> 33</w:t>
            </w:r>
            <w:r w:rsidRPr="00E51A17">
              <w:rPr>
                <w:b/>
                <w:u w:val="single"/>
              </w:rPr>
              <w:t>,</w:t>
            </w:r>
            <w:r w:rsidR="00CB2DD9">
              <w:rPr>
                <w:b/>
                <w:u w:val="single"/>
              </w:rPr>
              <w:t>865</w:t>
            </w:r>
          </w:p>
        </w:tc>
      </w:tr>
      <w:tr w:rsidR="00155AAF" w:rsidRPr="00E51A17" w:rsidTr="00B65EE6">
        <w:tc>
          <w:tcPr>
            <w:tcW w:w="6660" w:type="dxa"/>
          </w:tcPr>
          <w:p w:rsidR="00155AAF" w:rsidRPr="00E51A17" w:rsidRDefault="00155AAF" w:rsidP="00DC2F30">
            <w:pPr>
              <w:spacing w:line="276" w:lineRule="auto"/>
              <w:rPr>
                <w:b/>
              </w:rPr>
            </w:pPr>
          </w:p>
        </w:tc>
        <w:tc>
          <w:tcPr>
            <w:tcW w:w="4140" w:type="dxa"/>
          </w:tcPr>
          <w:p w:rsidR="00155AAF" w:rsidRPr="00E51A17" w:rsidRDefault="00155AAF" w:rsidP="00DC2F30">
            <w:pPr>
              <w:spacing w:line="276" w:lineRule="auto"/>
              <w:rPr>
                <w:b/>
              </w:rPr>
            </w:pPr>
          </w:p>
        </w:tc>
        <w:tc>
          <w:tcPr>
            <w:tcW w:w="1530" w:type="dxa"/>
          </w:tcPr>
          <w:p w:rsidR="00155AAF" w:rsidRPr="00E51A17" w:rsidRDefault="00155AAF" w:rsidP="00DC2F30">
            <w:pPr>
              <w:spacing w:line="276" w:lineRule="auto"/>
              <w:rPr>
                <w:b/>
              </w:rPr>
            </w:pPr>
          </w:p>
        </w:tc>
      </w:tr>
      <w:tr w:rsidR="00155AAF" w:rsidRPr="00E51A17" w:rsidTr="00B65EE6">
        <w:tc>
          <w:tcPr>
            <w:tcW w:w="6660" w:type="dxa"/>
          </w:tcPr>
          <w:p w:rsidR="00155AAF" w:rsidRPr="00E51A17" w:rsidRDefault="00155AAF" w:rsidP="00DC2F30">
            <w:pPr>
              <w:spacing w:line="276" w:lineRule="auto"/>
              <w:rPr>
                <w:b/>
              </w:rPr>
            </w:pPr>
            <w:r>
              <w:rPr>
                <w:b/>
              </w:rPr>
              <w:t>ATFV</w:t>
            </w:r>
          </w:p>
        </w:tc>
        <w:tc>
          <w:tcPr>
            <w:tcW w:w="4140" w:type="dxa"/>
          </w:tcPr>
          <w:p w:rsidR="00155AAF" w:rsidRPr="00E51A17" w:rsidRDefault="00155AAF" w:rsidP="00DC2F30">
            <w:pPr>
              <w:spacing w:line="276" w:lineRule="auto"/>
              <w:rPr>
                <w:b/>
              </w:rPr>
            </w:pPr>
          </w:p>
          <w:p w:rsidR="00155AAF" w:rsidRPr="00E51A17" w:rsidRDefault="00155AAF" w:rsidP="00DC2F30">
            <w:pPr>
              <w:spacing w:line="276" w:lineRule="auto"/>
              <w:rPr>
                <w:b/>
              </w:rPr>
            </w:pPr>
          </w:p>
        </w:tc>
        <w:tc>
          <w:tcPr>
            <w:tcW w:w="1530" w:type="dxa"/>
          </w:tcPr>
          <w:p w:rsidR="00155AAF" w:rsidRPr="00E51A17" w:rsidRDefault="00155AAF" w:rsidP="00DC2F30">
            <w:pPr>
              <w:spacing w:line="276" w:lineRule="auto"/>
              <w:rPr>
                <w:b/>
              </w:rPr>
            </w:pPr>
            <w:r w:rsidRPr="00E51A17">
              <w:rPr>
                <w:b/>
                <w:u w:val="double"/>
              </w:rPr>
              <w:t>$</w:t>
            </w:r>
            <w:r>
              <w:rPr>
                <w:b/>
                <w:u w:val="double"/>
              </w:rPr>
              <w:t>1</w:t>
            </w:r>
            <w:r w:rsidR="00CB2DD9">
              <w:rPr>
                <w:b/>
                <w:u w:val="double"/>
              </w:rPr>
              <w:t>32</w:t>
            </w:r>
            <w:r w:rsidRPr="00E51A17">
              <w:rPr>
                <w:b/>
                <w:u w:val="double"/>
              </w:rPr>
              <w:t>,</w:t>
            </w:r>
            <w:r w:rsidR="00CB2DD9">
              <w:rPr>
                <w:b/>
                <w:u w:val="double"/>
              </w:rPr>
              <w:t>910</w:t>
            </w:r>
          </w:p>
        </w:tc>
      </w:tr>
    </w:tbl>
    <w:p w:rsidR="00A325D3" w:rsidRDefault="00A325D3">
      <w:pPr>
        <w:spacing w:after="200" w:line="276" w:lineRule="auto"/>
        <w:rPr>
          <w:b/>
        </w:rPr>
      </w:pPr>
    </w:p>
    <w:p w:rsidR="000B79CE" w:rsidRPr="00E51A17" w:rsidRDefault="000B79CE" w:rsidP="000B79CE">
      <w:pPr>
        <w:spacing w:line="276" w:lineRule="auto"/>
        <w:rPr>
          <w:b/>
        </w:rPr>
      </w:pPr>
      <w:r>
        <w:rPr>
          <w:b/>
        </w:rPr>
        <w:t>Bond</w:t>
      </w:r>
      <w:r w:rsidR="00051867">
        <w:rPr>
          <w:b/>
        </w:rPr>
        <w:t>s</w:t>
      </w:r>
      <w:r>
        <w:rPr>
          <w:b/>
        </w:rPr>
        <w:t xml:space="preserve"> </w:t>
      </w:r>
      <w:proofErr w:type="gramStart"/>
      <w:r>
        <w:rPr>
          <w:b/>
        </w:rPr>
        <w:t>In</w:t>
      </w:r>
      <w:proofErr w:type="gramEnd"/>
      <w:r>
        <w:rPr>
          <w:b/>
        </w:rPr>
        <w:t xml:space="preserve"> – Stock</w:t>
      </w:r>
      <w:r w:rsidR="00051867">
        <w:rPr>
          <w:b/>
        </w:rPr>
        <w:t>s</w:t>
      </w:r>
      <w:r>
        <w:rPr>
          <w:b/>
        </w:rPr>
        <w:t xml:space="preserve"> Out</w:t>
      </w:r>
      <w:r w:rsidRPr="00E51A17">
        <w:rPr>
          <w:b/>
        </w:rPr>
        <w:t>:</w:t>
      </w:r>
    </w:p>
    <w:tbl>
      <w:tblPr>
        <w:tblW w:w="0" w:type="auto"/>
        <w:tblInd w:w="840" w:type="dxa"/>
        <w:tblLayout w:type="fixed"/>
        <w:tblCellMar>
          <w:left w:w="120" w:type="dxa"/>
          <w:right w:w="120" w:type="dxa"/>
        </w:tblCellMar>
        <w:tblLook w:val="04A0" w:firstRow="1" w:lastRow="0" w:firstColumn="1" w:lastColumn="0" w:noHBand="0" w:noVBand="1"/>
      </w:tblPr>
      <w:tblGrid>
        <w:gridCol w:w="6660"/>
        <w:gridCol w:w="4140"/>
        <w:gridCol w:w="1530"/>
      </w:tblGrid>
      <w:tr w:rsidR="00155AAF" w:rsidRPr="00E51A17" w:rsidTr="00B65EE6">
        <w:trPr>
          <w:tblHeader/>
        </w:trPr>
        <w:tc>
          <w:tcPr>
            <w:tcW w:w="6660" w:type="dxa"/>
          </w:tcPr>
          <w:p w:rsidR="00155AAF" w:rsidRPr="00E51A17" w:rsidRDefault="00155AAF" w:rsidP="00DC2F30">
            <w:pPr>
              <w:spacing w:line="276" w:lineRule="auto"/>
              <w:rPr>
                <w:b/>
              </w:rPr>
            </w:pPr>
          </w:p>
          <w:p w:rsidR="00155AAF" w:rsidRPr="00E51A17" w:rsidRDefault="00155AAF" w:rsidP="00AE2AB2">
            <w:pPr>
              <w:spacing w:line="276" w:lineRule="auto"/>
              <w:rPr>
                <w:b/>
              </w:rPr>
            </w:pPr>
            <w:r w:rsidRPr="00E51A17">
              <w:rPr>
                <w:b/>
              </w:rPr>
              <w:t>Bond</w:t>
            </w:r>
            <w:r w:rsidR="00051867">
              <w:rPr>
                <w:b/>
              </w:rPr>
              <w:t>s</w:t>
            </w:r>
            <w:r w:rsidRPr="00E51A17">
              <w:rPr>
                <w:b/>
              </w:rPr>
              <w:t xml:space="preserve"> in</w:t>
            </w:r>
            <w:r w:rsidR="00402C23">
              <w:rPr>
                <w:b/>
              </w:rPr>
              <w:t xml:space="preserve"> TDA</w:t>
            </w:r>
            <w:r>
              <w:rPr>
                <w:b/>
              </w:rPr>
              <w:t xml:space="preserve"> (</w:t>
            </w:r>
            <w:r w:rsidR="00AE2AB2">
              <w:rPr>
                <w:b/>
              </w:rPr>
              <w:t>m</w:t>
            </w:r>
            <w:r w:rsidRPr="00E51A17">
              <w:rPr>
                <w:b/>
              </w:rPr>
              <w:t xml:space="preserve">odel </w:t>
            </w:r>
            <w:r>
              <w:rPr>
                <w:b/>
              </w:rPr>
              <w:t>4</w:t>
            </w:r>
            <w:r w:rsidRPr="00E51A17">
              <w:rPr>
                <w:b/>
              </w:rPr>
              <w:t>)</w:t>
            </w:r>
          </w:p>
        </w:tc>
        <w:tc>
          <w:tcPr>
            <w:tcW w:w="4140" w:type="dxa"/>
          </w:tcPr>
          <w:p w:rsidR="00155AAF" w:rsidRPr="00E51A17" w:rsidRDefault="00155AAF" w:rsidP="00DC2F30">
            <w:pPr>
              <w:spacing w:line="276" w:lineRule="auto"/>
              <w:rPr>
                <w:b/>
              </w:rPr>
            </w:pPr>
          </w:p>
          <w:p w:rsidR="00155AAF" w:rsidRPr="00E51A17" w:rsidRDefault="00155AAF" w:rsidP="00CB2DD9">
            <w:pPr>
              <w:spacing w:line="276" w:lineRule="auto"/>
              <w:rPr>
                <w:b/>
              </w:rPr>
            </w:pPr>
            <w:r w:rsidRPr="00E51A17">
              <w:rPr>
                <w:b/>
              </w:rPr>
              <w:t>$</w:t>
            </w:r>
            <w:r>
              <w:rPr>
                <w:b/>
              </w:rPr>
              <w:t>25</w:t>
            </w:r>
            <w:r w:rsidRPr="00E51A17">
              <w:rPr>
                <w:b/>
              </w:rPr>
              <w:t>,000(1.</w:t>
            </w:r>
            <w:r>
              <w:rPr>
                <w:b/>
              </w:rPr>
              <w:t>0</w:t>
            </w:r>
            <w:r w:rsidR="00CB2DD9">
              <w:rPr>
                <w:b/>
              </w:rPr>
              <w:t>4</w:t>
            </w:r>
            <w:r w:rsidRPr="00E51A17">
              <w:rPr>
                <w:b/>
              </w:rPr>
              <w:t>)</w:t>
            </w:r>
            <w:r>
              <w:rPr>
                <w:b/>
                <w:vertAlign w:val="superscript"/>
              </w:rPr>
              <w:t>2</w:t>
            </w:r>
            <w:r w:rsidRPr="00E51A17">
              <w:rPr>
                <w:b/>
                <w:vertAlign w:val="superscript"/>
              </w:rPr>
              <w:t>0</w:t>
            </w:r>
            <w:r w:rsidRPr="00E51A17">
              <w:rPr>
                <w:b/>
              </w:rPr>
              <w:t>(1 − .</w:t>
            </w:r>
            <w:r>
              <w:rPr>
                <w:b/>
              </w:rPr>
              <w:t>1</w:t>
            </w:r>
            <w:r w:rsidRPr="00E51A17">
              <w:rPr>
                <w:b/>
              </w:rPr>
              <w:t>5)</w:t>
            </w:r>
          </w:p>
        </w:tc>
        <w:tc>
          <w:tcPr>
            <w:tcW w:w="1530" w:type="dxa"/>
          </w:tcPr>
          <w:p w:rsidR="00155AAF" w:rsidRPr="00E51A17" w:rsidRDefault="00155AAF" w:rsidP="00DC2F30">
            <w:pPr>
              <w:spacing w:line="276" w:lineRule="auto"/>
              <w:rPr>
                <w:b/>
              </w:rPr>
            </w:pPr>
          </w:p>
          <w:p w:rsidR="00155AAF" w:rsidRPr="00E51A17" w:rsidRDefault="00A03E94" w:rsidP="009E4EF8">
            <w:pPr>
              <w:spacing w:line="276" w:lineRule="auto"/>
              <w:rPr>
                <w:b/>
              </w:rPr>
            </w:pPr>
            <w:r>
              <w:rPr>
                <w:b/>
              </w:rPr>
              <w:t xml:space="preserve">  </w:t>
            </w:r>
            <w:r w:rsidR="00155AAF" w:rsidRPr="00E51A17">
              <w:rPr>
                <w:b/>
              </w:rPr>
              <w:t>$</w:t>
            </w:r>
            <w:r w:rsidR="00CB2DD9">
              <w:rPr>
                <w:b/>
              </w:rPr>
              <w:t>46</w:t>
            </w:r>
            <w:r w:rsidR="00155AAF" w:rsidRPr="00E51A17">
              <w:rPr>
                <w:b/>
              </w:rPr>
              <w:t>,</w:t>
            </w:r>
            <w:r w:rsidR="00CB2DD9">
              <w:rPr>
                <w:b/>
              </w:rPr>
              <w:t>561</w:t>
            </w:r>
          </w:p>
        </w:tc>
      </w:tr>
      <w:tr w:rsidR="00155AAF" w:rsidRPr="00E51A17" w:rsidTr="00B65EE6">
        <w:tc>
          <w:tcPr>
            <w:tcW w:w="6660" w:type="dxa"/>
          </w:tcPr>
          <w:p w:rsidR="00155AAF" w:rsidRPr="00E51A17" w:rsidRDefault="00155AAF" w:rsidP="00DC2F30">
            <w:pPr>
              <w:spacing w:line="276" w:lineRule="auto"/>
              <w:rPr>
                <w:b/>
              </w:rPr>
            </w:pPr>
          </w:p>
          <w:p w:rsidR="00155AAF" w:rsidRPr="00E51A17" w:rsidRDefault="00155AAF" w:rsidP="00C81295">
            <w:pPr>
              <w:spacing w:line="276" w:lineRule="auto"/>
              <w:rPr>
                <w:b/>
              </w:rPr>
            </w:pPr>
            <w:r w:rsidRPr="00E51A17">
              <w:rPr>
                <w:b/>
              </w:rPr>
              <w:t>Stock</w:t>
            </w:r>
            <w:r w:rsidR="00051867">
              <w:rPr>
                <w:b/>
              </w:rPr>
              <w:t>s</w:t>
            </w:r>
            <w:r w:rsidRPr="00E51A17">
              <w:rPr>
                <w:b/>
              </w:rPr>
              <w:t xml:space="preserve"> </w:t>
            </w:r>
            <w:r>
              <w:rPr>
                <w:b/>
              </w:rPr>
              <w:t>in taxable account</w:t>
            </w:r>
            <w:r w:rsidR="00CB2DD9">
              <w:rPr>
                <w:b/>
              </w:rPr>
              <w:t xml:space="preserve"> </w:t>
            </w:r>
            <w:r w:rsidR="00CB2DD9" w:rsidRPr="00E51A17">
              <w:rPr>
                <w:b/>
              </w:rPr>
              <w:t>(</w:t>
            </w:r>
            <w:r w:rsidR="00CB2DD9">
              <w:rPr>
                <w:b/>
              </w:rPr>
              <w:t>hybrid: m</w:t>
            </w:r>
            <w:r w:rsidR="00CB2DD9" w:rsidRPr="00E51A17">
              <w:rPr>
                <w:b/>
              </w:rPr>
              <w:t>odel</w:t>
            </w:r>
            <w:r w:rsidR="00CB2DD9">
              <w:rPr>
                <w:b/>
              </w:rPr>
              <w:t>s</w:t>
            </w:r>
            <w:r w:rsidR="00CB2DD9" w:rsidRPr="00E51A17">
              <w:rPr>
                <w:b/>
              </w:rPr>
              <w:t xml:space="preserve"> </w:t>
            </w:r>
            <w:r w:rsidR="00CB2DD9">
              <w:rPr>
                <w:b/>
              </w:rPr>
              <w:t>2 &amp; 3</w:t>
            </w:r>
            <w:r w:rsidR="00CB2DD9" w:rsidRPr="00E51A17">
              <w:rPr>
                <w:b/>
              </w:rPr>
              <w:t>)</w:t>
            </w:r>
            <w:r w:rsidR="00F90794">
              <w:rPr>
                <w:rStyle w:val="EndnoteReference"/>
                <w:b/>
              </w:rPr>
              <w:endnoteReference w:id="15"/>
            </w:r>
          </w:p>
        </w:tc>
        <w:tc>
          <w:tcPr>
            <w:tcW w:w="4140" w:type="dxa"/>
          </w:tcPr>
          <w:p w:rsidR="00155AAF" w:rsidRPr="00E51A17" w:rsidRDefault="00155AAF" w:rsidP="00DC2F30">
            <w:pPr>
              <w:spacing w:line="276" w:lineRule="auto"/>
              <w:rPr>
                <w:b/>
              </w:rPr>
            </w:pPr>
          </w:p>
          <w:p w:rsidR="00155AAF" w:rsidRPr="00E51A17" w:rsidRDefault="00CB2DD9" w:rsidP="00DC2F30">
            <w:pPr>
              <w:spacing w:line="276" w:lineRule="auto"/>
              <w:rPr>
                <w:b/>
              </w:rPr>
            </w:pPr>
            <w:r w:rsidRPr="00E51A17">
              <w:rPr>
                <w:b/>
              </w:rPr>
              <w:t>$</w:t>
            </w:r>
            <w:r>
              <w:rPr>
                <w:b/>
              </w:rPr>
              <w:t>18</w:t>
            </w:r>
            <w:r w:rsidRPr="00E51A17">
              <w:rPr>
                <w:b/>
              </w:rPr>
              <w:t>,</w:t>
            </w:r>
            <w:r>
              <w:rPr>
                <w:b/>
              </w:rPr>
              <w:t>75</w:t>
            </w:r>
            <w:r w:rsidRPr="00E51A17">
              <w:rPr>
                <w:b/>
              </w:rPr>
              <w:t>0</w:t>
            </w:r>
            <w:r>
              <w:rPr>
                <w:b/>
              </w:rPr>
              <w:t>(1.08</w:t>
            </w:r>
            <w:r w:rsidR="006E3E9B">
              <w:rPr>
                <w:b/>
              </w:rPr>
              <w:t xml:space="preserve"> </w:t>
            </w:r>
            <w:r>
              <w:rPr>
                <w:b/>
              </w:rPr>
              <w:t>−</w:t>
            </w:r>
            <w:r w:rsidR="006E3E9B">
              <w:rPr>
                <w:b/>
              </w:rPr>
              <w:t xml:space="preserve"> </w:t>
            </w:r>
            <w:r>
              <w:rPr>
                <w:b/>
              </w:rPr>
              <w:t>.003)</w:t>
            </w:r>
            <w:r>
              <w:rPr>
                <w:b/>
                <w:vertAlign w:val="superscript"/>
              </w:rPr>
              <w:t>20</w:t>
            </w:r>
          </w:p>
          <w:p w:rsidR="00155AAF" w:rsidRPr="00E51A17" w:rsidRDefault="00155AAF" w:rsidP="00DC2F30">
            <w:pPr>
              <w:spacing w:line="276" w:lineRule="auto"/>
              <w:rPr>
                <w:b/>
              </w:rPr>
            </w:pPr>
          </w:p>
        </w:tc>
        <w:tc>
          <w:tcPr>
            <w:tcW w:w="1530" w:type="dxa"/>
          </w:tcPr>
          <w:p w:rsidR="00155AAF" w:rsidRPr="00E51A17" w:rsidRDefault="00155AAF" w:rsidP="00DC2F30">
            <w:pPr>
              <w:spacing w:line="276" w:lineRule="auto"/>
              <w:rPr>
                <w:b/>
              </w:rPr>
            </w:pPr>
          </w:p>
          <w:p w:rsidR="00155AAF" w:rsidRPr="00E51A17" w:rsidRDefault="00155AAF" w:rsidP="00CB2DD9">
            <w:pPr>
              <w:spacing w:line="276" w:lineRule="auto"/>
              <w:rPr>
                <w:b/>
              </w:rPr>
            </w:pPr>
            <w:r w:rsidRPr="00E51A17">
              <w:rPr>
                <w:b/>
                <w:u w:val="single"/>
              </w:rPr>
              <w:t xml:space="preserve"> </w:t>
            </w:r>
            <w:r w:rsidR="00CB2DD9">
              <w:rPr>
                <w:b/>
                <w:u w:val="single"/>
              </w:rPr>
              <w:t xml:space="preserve">   82</w:t>
            </w:r>
            <w:r>
              <w:rPr>
                <w:b/>
                <w:u w:val="single"/>
              </w:rPr>
              <w:t>,</w:t>
            </w:r>
            <w:r w:rsidR="00CB2DD9">
              <w:rPr>
                <w:b/>
                <w:u w:val="single"/>
              </w:rPr>
              <w:t>664</w:t>
            </w:r>
          </w:p>
        </w:tc>
      </w:tr>
      <w:tr w:rsidR="00155AAF" w:rsidRPr="00E51A17" w:rsidTr="00B65EE6">
        <w:tc>
          <w:tcPr>
            <w:tcW w:w="6660" w:type="dxa"/>
          </w:tcPr>
          <w:p w:rsidR="00155AAF" w:rsidRPr="00E51A17" w:rsidRDefault="00155AAF" w:rsidP="00DC2F30">
            <w:pPr>
              <w:spacing w:line="276" w:lineRule="auto"/>
              <w:rPr>
                <w:b/>
              </w:rPr>
            </w:pPr>
            <w:r>
              <w:rPr>
                <w:b/>
              </w:rPr>
              <w:t>ATFV</w:t>
            </w:r>
          </w:p>
        </w:tc>
        <w:tc>
          <w:tcPr>
            <w:tcW w:w="4140" w:type="dxa"/>
          </w:tcPr>
          <w:p w:rsidR="00155AAF" w:rsidRPr="00E51A17" w:rsidRDefault="00155AAF" w:rsidP="00DC2F30">
            <w:pPr>
              <w:spacing w:line="276" w:lineRule="auto"/>
              <w:rPr>
                <w:b/>
              </w:rPr>
            </w:pPr>
          </w:p>
          <w:p w:rsidR="00155AAF" w:rsidRPr="00E51A17" w:rsidRDefault="00155AAF" w:rsidP="00DC2F30">
            <w:pPr>
              <w:spacing w:line="276" w:lineRule="auto"/>
              <w:rPr>
                <w:b/>
              </w:rPr>
            </w:pPr>
          </w:p>
        </w:tc>
        <w:tc>
          <w:tcPr>
            <w:tcW w:w="1530" w:type="dxa"/>
          </w:tcPr>
          <w:p w:rsidR="00155AAF" w:rsidRPr="00E51A17" w:rsidRDefault="00155AAF" w:rsidP="00DC2F30">
            <w:pPr>
              <w:spacing w:line="276" w:lineRule="auto"/>
              <w:rPr>
                <w:b/>
              </w:rPr>
            </w:pPr>
            <w:r w:rsidRPr="00E51A17">
              <w:rPr>
                <w:b/>
                <w:u w:val="double"/>
              </w:rPr>
              <w:t>$</w:t>
            </w:r>
            <w:r>
              <w:rPr>
                <w:b/>
                <w:u w:val="double"/>
              </w:rPr>
              <w:t>1</w:t>
            </w:r>
            <w:r w:rsidR="00CB2DD9">
              <w:rPr>
                <w:b/>
                <w:u w:val="double"/>
              </w:rPr>
              <w:t>29</w:t>
            </w:r>
            <w:r w:rsidRPr="00E51A17">
              <w:rPr>
                <w:b/>
                <w:u w:val="double"/>
              </w:rPr>
              <w:t>,</w:t>
            </w:r>
            <w:r w:rsidR="00CB2DD9">
              <w:rPr>
                <w:b/>
                <w:u w:val="double"/>
              </w:rPr>
              <w:t>225</w:t>
            </w:r>
          </w:p>
        </w:tc>
      </w:tr>
    </w:tbl>
    <w:p w:rsidR="006C5765" w:rsidRDefault="006C5765" w:rsidP="00DC2F30">
      <w:pPr>
        <w:spacing w:line="276" w:lineRule="auto"/>
      </w:pPr>
    </w:p>
    <w:p w:rsidR="00951A49" w:rsidRDefault="00951A49" w:rsidP="00DC2F30">
      <w:pPr>
        <w:spacing w:line="276" w:lineRule="auto"/>
      </w:pPr>
    </w:p>
    <w:p w:rsidR="00B65EE6" w:rsidRDefault="00B65EE6" w:rsidP="00951A49">
      <w:pPr>
        <w:spacing w:line="480" w:lineRule="auto"/>
        <w:ind w:firstLine="720"/>
        <w:sectPr w:rsidR="00B65EE6" w:rsidSect="00372422">
          <w:endnotePr>
            <w:numFmt w:val="decimal"/>
          </w:endnotePr>
          <w:pgSz w:w="15840" w:h="12240" w:orient="landscape"/>
          <w:pgMar w:top="1440" w:right="1440" w:bottom="1440" w:left="1440" w:header="720" w:footer="720" w:gutter="0"/>
          <w:cols w:space="720"/>
          <w:docGrid w:linePitch="360"/>
        </w:sectPr>
      </w:pPr>
    </w:p>
    <w:p w:rsidR="00DC2F30" w:rsidRDefault="00DC2F30" w:rsidP="00951A49">
      <w:pPr>
        <w:spacing w:line="480" w:lineRule="auto"/>
        <w:ind w:firstLine="720"/>
        <w:rPr>
          <w:b/>
        </w:rPr>
      </w:pPr>
      <w:r>
        <w:lastRenderedPageBreak/>
        <w:t xml:space="preserve">In </w:t>
      </w:r>
      <w:r w:rsidR="005D73A2">
        <w:t>s</w:t>
      </w:r>
      <w:r w:rsidR="004422B3">
        <w:t>cenario</w:t>
      </w:r>
      <w:r>
        <w:t xml:space="preserve"> </w:t>
      </w:r>
      <w:r w:rsidR="001C1ABD">
        <w:t>2</w:t>
      </w:r>
      <w:r w:rsidR="00294584">
        <w:t>,</w:t>
      </w:r>
      <w:r>
        <w:t xml:space="preserve"> the ATFVs for </w:t>
      </w:r>
      <w:r w:rsidR="00B23CF2">
        <w:t>Stock</w:t>
      </w:r>
      <w:r w:rsidR="00051867">
        <w:t>s</w:t>
      </w:r>
      <w:r w:rsidR="00B23CF2">
        <w:t xml:space="preserve"> In – Bond</w:t>
      </w:r>
      <w:r w:rsidR="00051867">
        <w:t>s</w:t>
      </w:r>
      <w:r w:rsidR="00B23CF2">
        <w:t xml:space="preserve"> Out </w:t>
      </w:r>
      <w:r>
        <w:t xml:space="preserve">versus </w:t>
      </w:r>
      <w:r w:rsidR="00B23CF2">
        <w:t>Bond</w:t>
      </w:r>
      <w:r w:rsidR="00051867">
        <w:t>s</w:t>
      </w:r>
      <w:r w:rsidR="00B23CF2">
        <w:t xml:space="preserve"> In – Stock</w:t>
      </w:r>
      <w:r w:rsidR="00051867">
        <w:t>s</w:t>
      </w:r>
      <w:r w:rsidR="00B23CF2">
        <w:t xml:space="preserve"> Out </w:t>
      </w:r>
      <w:r>
        <w:t xml:space="preserve">are not </w:t>
      </w:r>
      <w:r w:rsidR="00BE2D04">
        <w:t xml:space="preserve">spread </w:t>
      </w:r>
      <w:r>
        <w:t>as wide</w:t>
      </w:r>
      <w:r w:rsidR="00BE2D04">
        <w:t>ly apart</w:t>
      </w:r>
      <w:r>
        <w:t xml:space="preserve"> as in </w:t>
      </w:r>
      <w:r w:rsidR="005D73A2">
        <w:t>s</w:t>
      </w:r>
      <w:r w:rsidR="004422B3">
        <w:t>cenario</w:t>
      </w:r>
      <w:r>
        <w:t xml:space="preserve"> 1. </w:t>
      </w:r>
      <w:r w:rsidR="005D73A2">
        <w:t xml:space="preserve">Specifically, the individual will be wealthier by 2.9% </w:t>
      </w:r>
      <w:r w:rsidR="00A03E94">
        <w:t>[</w:t>
      </w:r>
      <w:r w:rsidR="005D73A2">
        <w:t>($132,910 − $129,225) / $129,225</w:t>
      </w:r>
      <w:r w:rsidR="00A03E94">
        <w:t>]</w:t>
      </w:r>
      <w:r w:rsidR="005D73A2">
        <w:t xml:space="preserve"> if the stocks are held inside the TDA and the bonds are held outside in a taxable account. Compared </w:t>
      </w:r>
      <w:r w:rsidR="0054053D">
        <w:t xml:space="preserve">with </w:t>
      </w:r>
      <w:r w:rsidR="005D73A2">
        <w:t xml:space="preserve">scenario 1, </w:t>
      </w:r>
      <w:r w:rsidR="00BE2D04">
        <w:t>the bonds held in the taxable account have the same ATFV</w:t>
      </w:r>
      <w:r w:rsidR="00793221">
        <w:t>,</w:t>
      </w:r>
      <w:r w:rsidR="00BE2D04">
        <w:t xml:space="preserve"> but </w:t>
      </w:r>
      <w:r w:rsidR="005D73A2">
        <w:t>a</w:t>
      </w:r>
      <w:r>
        <w:t xml:space="preserve">ll of the </w:t>
      </w:r>
      <w:r w:rsidR="00BE2D04">
        <w:t xml:space="preserve">other </w:t>
      </w:r>
      <w:r>
        <w:t>ATFVs increase</w:t>
      </w:r>
      <w:r w:rsidR="00BE2D04">
        <w:t xml:space="preserve"> due to the lower tax rate at year n</w:t>
      </w:r>
      <w:r w:rsidR="00294584">
        <w:t>.</w:t>
      </w:r>
      <w:r>
        <w:t xml:space="preserve"> </w:t>
      </w:r>
      <w:r w:rsidR="00B23CF2">
        <w:t>Stock</w:t>
      </w:r>
      <w:r w:rsidR="00051867">
        <w:t>s</w:t>
      </w:r>
      <w:r w:rsidR="00B23CF2">
        <w:t xml:space="preserve"> In – Bond</w:t>
      </w:r>
      <w:r w:rsidR="00051867">
        <w:t>s</w:t>
      </w:r>
      <w:r w:rsidR="00B23CF2">
        <w:t xml:space="preserve"> Out </w:t>
      </w:r>
      <w:r w:rsidR="00F1121A">
        <w:t xml:space="preserve">is </w:t>
      </w:r>
      <w:r>
        <w:t xml:space="preserve">not as strong of a winner in </w:t>
      </w:r>
      <w:r w:rsidR="00F1121A">
        <w:t>s</w:t>
      </w:r>
      <w:r w:rsidR="004422B3">
        <w:t>cenario</w:t>
      </w:r>
      <w:r>
        <w:t xml:space="preserve"> </w:t>
      </w:r>
      <w:r w:rsidR="001C1ABD">
        <w:t>2</w:t>
      </w:r>
      <w:r>
        <w:t xml:space="preserve"> compared </w:t>
      </w:r>
      <w:r w:rsidR="00793221">
        <w:t xml:space="preserve">with </w:t>
      </w:r>
      <w:r w:rsidR="00F1121A">
        <w:t>s</w:t>
      </w:r>
      <w:r w:rsidR="004422B3">
        <w:t>cenario</w:t>
      </w:r>
      <w:r>
        <w:t xml:space="preserve"> 1</w:t>
      </w:r>
      <w:r w:rsidR="00F1121A">
        <w:t xml:space="preserve"> </w:t>
      </w:r>
      <w:r w:rsidR="00B534CA">
        <w:t>despite</w:t>
      </w:r>
      <w:r w:rsidR="00F1121A">
        <w:t xml:space="preserve"> </w:t>
      </w:r>
      <w:r>
        <w:t xml:space="preserve">the biggest increase in ATFV </w:t>
      </w:r>
      <w:r w:rsidR="00B534CA">
        <w:t>being</w:t>
      </w:r>
      <w:r>
        <w:t xml:space="preserve"> the stock held in </w:t>
      </w:r>
      <w:r w:rsidR="00BE2D04">
        <w:t xml:space="preserve">the </w:t>
      </w:r>
      <w:r>
        <w:t>retirement account</w:t>
      </w:r>
      <w:r w:rsidR="00B23CF2">
        <w:t xml:space="preserve"> </w:t>
      </w:r>
      <w:r w:rsidR="00B534CA">
        <w:t>where</w:t>
      </w:r>
      <w:r>
        <w:t xml:space="preserve"> the decrease in the tax rate from 25% to 15% increases the after-tax value of the retirement account </w:t>
      </w:r>
      <w:r w:rsidRPr="00FE78A4">
        <w:t>a lot</w:t>
      </w:r>
      <w:r>
        <w:t xml:space="preserve">. This is tempered slightly by the fact that in </w:t>
      </w:r>
      <w:r w:rsidR="00B23CF2">
        <w:t>Bond</w:t>
      </w:r>
      <w:r w:rsidR="00051867">
        <w:t>s</w:t>
      </w:r>
      <w:r w:rsidR="00B23CF2">
        <w:t xml:space="preserve"> In – Stock</w:t>
      </w:r>
      <w:r w:rsidR="00051867">
        <w:t>s</w:t>
      </w:r>
      <w:r w:rsidR="00B23CF2">
        <w:t xml:space="preserve"> Out</w:t>
      </w:r>
      <w:r w:rsidR="006C5765">
        <w:t>,</w:t>
      </w:r>
      <w:r w:rsidR="00B23CF2">
        <w:t xml:space="preserve"> </w:t>
      </w:r>
      <w:r>
        <w:t>the bond</w:t>
      </w:r>
      <w:r w:rsidR="00051867">
        <w:t>s</w:t>
      </w:r>
      <w:r>
        <w:t xml:space="preserve"> held in the retirement account </w:t>
      </w:r>
      <w:r w:rsidR="00051867">
        <w:t>are</w:t>
      </w:r>
      <w:r>
        <w:t xml:space="preserve"> taxed at </w:t>
      </w:r>
      <w:r w:rsidR="00F62EC7">
        <w:t xml:space="preserve">only </w:t>
      </w:r>
      <w:r>
        <w:t xml:space="preserve">15% instead of 25%. </w:t>
      </w:r>
      <w:r w:rsidR="005D73A2">
        <w:t xml:space="preserve">Further, this </w:t>
      </w:r>
      <w:r>
        <w:t xml:space="preserve">is tempered </w:t>
      </w:r>
      <w:r w:rsidR="00FE78A4">
        <w:t xml:space="preserve">significantly </w:t>
      </w:r>
      <w:r>
        <w:t>by the fact that the stock</w:t>
      </w:r>
      <w:r w:rsidR="006C5765">
        <w:t>s</w:t>
      </w:r>
      <w:r w:rsidR="00051867">
        <w:t>’</w:t>
      </w:r>
      <w:r w:rsidR="006C5765">
        <w:t xml:space="preserve"> appreciation</w:t>
      </w:r>
      <w:r>
        <w:t xml:space="preserve"> </w:t>
      </w:r>
      <w:r w:rsidR="006C5765">
        <w:t xml:space="preserve">when </w:t>
      </w:r>
      <w:r>
        <w:t>held in the taxable account is taxed at 0% instead of 15%</w:t>
      </w:r>
      <w:r w:rsidR="00B23CF2">
        <w:t>.</w:t>
      </w:r>
      <w:r w:rsidR="000E6C75">
        <w:t xml:space="preserve"> </w:t>
      </w:r>
    </w:p>
    <w:p w:rsidR="001D4454" w:rsidRDefault="001D4454" w:rsidP="00951A49">
      <w:pPr>
        <w:spacing w:line="480" w:lineRule="auto"/>
      </w:pPr>
    </w:p>
    <w:p w:rsidR="00F90915" w:rsidRDefault="00F90915" w:rsidP="00951A49">
      <w:pPr>
        <w:spacing w:line="480" w:lineRule="auto"/>
        <w:rPr>
          <w:b/>
        </w:rPr>
      </w:pPr>
      <w:r w:rsidRPr="000E6C75">
        <w:rPr>
          <w:b/>
        </w:rPr>
        <w:t xml:space="preserve">Summary of </w:t>
      </w:r>
      <w:r w:rsidR="004422B3" w:rsidRPr="000E6C75">
        <w:rPr>
          <w:b/>
        </w:rPr>
        <w:t>Scenario</w:t>
      </w:r>
      <w:r w:rsidRPr="000E6C75">
        <w:rPr>
          <w:b/>
        </w:rPr>
        <w:t>s</w:t>
      </w:r>
    </w:p>
    <w:p w:rsidR="00951A49" w:rsidRPr="00951A49" w:rsidRDefault="00951A49" w:rsidP="00951A49">
      <w:pPr>
        <w:spacing w:line="480" w:lineRule="auto"/>
      </w:pPr>
    </w:p>
    <w:p w:rsidR="00F90915" w:rsidRDefault="00F90915" w:rsidP="00951A49">
      <w:pPr>
        <w:spacing w:after="200" w:line="480" w:lineRule="auto"/>
        <w:ind w:firstLine="720"/>
      </w:pPr>
      <w:r>
        <w:t xml:space="preserve">In </w:t>
      </w:r>
      <w:r w:rsidR="001C1ABD">
        <w:t>both</w:t>
      </w:r>
      <w:r>
        <w:t xml:space="preserve"> </w:t>
      </w:r>
      <w:r w:rsidR="004422B3">
        <w:t>scenario</w:t>
      </w:r>
      <w:r>
        <w:t>s thus far, n = 20 years, t</w:t>
      </w:r>
      <w:r>
        <w:rPr>
          <w:vertAlign w:val="subscript"/>
        </w:rPr>
        <w:t>0</w:t>
      </w:r>
      <w:r>
        <w:t xml:space="preserve"> = 25%, and g</w:t>
      </w:r>
      <w:r>
        <w:rPr>
          <w:vertAlign w:val="subscript"/>
        </w:rPr>
        <w:t>0</w:t>
      </w:r>
      <w:r>
        <w:t xml:space="preserve"> = 15%. The other variables </w:t>
      </w:r>
      <w:r w:rsidR="00DB4D72">
        <w:t xml:space="preserve">and results of </w:t>
      </w:r>
      <w:r w:rsidR="001C1ABD">
        <w:t>both</w:t>
      </w:r>
      <w:r w:rsidR="00DB4D72">
        <w:t xml:space="preserve"> scenarios </w:t>
      </w:r>
      <w:r>
        <w:t xml:space="preserve">are listed </w:t>
      </w:r>
      <w:r w:rsidR="004422B3">
        <w:t xml:space="preserve">in </w:t>
      </w:r>
      <w:r w:rsidR="009E4EF8">
        <w:t>the following table</w:t>
      </w:r>
      <w:r>
        <w:t>:</w:t>
      </w:r>
    </w:p>
    <w:p w:rsidR="00D85E86" w:rsidRDefault="00D85E86">
      <w:pPr>
        <w:spacing w:after="200" w:line="276" w:lineRule="auto"/>
      </w:pPr>
      <w:r>
        <w:br w:type="page"/>
      </w:r>
    </w:p>
    <w:p w:rsidR="009E4EF8" w:rsidRPr="0032114B" w:rsidRDefault="009E4EF8" w:rsidP="009E4EF8">
      <w:pPr>
        <w:spacing w:after="200" w:line="480" w:lineRule="auto"/>
        <w:ind w:firstLine="720"/>
        <w:jc w:val="center"/>
        <w:rPr>
          <w:b/>
        </w:rPr>
      </w:pPr>
      <w:r w:rsidRPr="0032114B">
        <w:rPr>
          <w:b/>
        </w:rPr>
        <w:lastRenderedPageBreak/>
        <w:t>Table 1</w:t>
      </w:r>
    </w:p>
    <w:tbl>
      <w:tblPr>
        <w:tblStyle w:val="TableGrid"/>
        <w:tblW w:w="0" w:type="auto"/>
        <w:tblLook w:val="04A0" w:firstRow="1" w:lastRow="0" w:firstColumn="1" w:lastColumn="0" w:noHBand="0" w:noVBand="1"/>
      </w:tblPr>
      <w:tblGrid>
        <w:gridCol w:w="4338"/>
        <w:gridCol w:w="1440"/>
        <w:gridCol w:w="1620"/>
      </w:tblGrid>
      <w:tr w:rsidR="001C1ABD" w:rsidTr="0035020E">
        <w:tc>
          <w:tcPr>
            <w:tcW w:w="4338" w:type="dxa"/>
            <w:tcBorders>
              <w:right w:val="single" w:sz="12" w:space="0" w:color="auto"/>
            </w:tcBorders>
          </w:tcPr>
          <w:p w:rsidR="001C1ABD" w:rsidRPr="004422B3" w:rsidRDefault="001C1ABD" w:rsidP="00DB4D72">
            <w:pPr>
              <w:spacing w:after="200" w:line="276" w:lineRule="auto"/>
              <w:rPr>
                <w:b/>
              </w:rPr>
            </w:pPr>
          </w:p>
        </w:tc>
        <w:tc>
          <w:tcPr>
            <w:tcW w:w="1440" w:type="dxa"/>
            <w:tcBorders>
              <w:left w:val="single" w:sz="12" w:space="0" w:color="auto"/>
            </w:tcBorders>
          </w:tcPr>
          <w:p w:rsidR="001C1ABD" w:rsidRPr="0032114B" w:rsidRDefault="001C1ABD" w:rsidP="0035020E">
            <w:pPr>
              <w:spacing w:after="200" w:line="276" w:lineRule="auto"/>
              <w:jc w:val="center"/>
              <w:rPr>
                <w:b/>
              </w:rPr>
            </w:pPr>
            <w:r w:rsidRPr="0032114B">
              <w:rPr>
                <w:b/>
              </w:rPr>
              <w:t xml:space="preserve">Scenario 1 </w:t>
            </w:r>
          </w:p>
        </w:tc>
        <w:tc>
          <w:tcPr>
            <w:tcW w:w="1620" w:type="dxa"/>
            <w:tcBorders>
              <w:left w:val="single" w:sz="12" w:space="0" w:color="auto"/>
            </w:tcBorders>
          </w:tcPr>
          <w:p w:rsidR="001C1ABD" w:rsidRPr="0032114B" w:rsidRDefault="001C1ABD" w:rsidP="001C1ABD">
            <w:pPr>
              <w:spacing w:after="200" w:line="276" w:lineRule="auto"/>
              <w:jc w:val="center"/>
              <w:rPr>
                <w:b/>
              </w:rPr>
            </w:pPr>
            <w:r w:rsidRPr="0032114B">
              <w:rPr>
                <w:b/>
              </w:rPr>
              <w:t xml:space="preserve">Scenario 2 </w:t>
            </w:r>
          </w:p>
        </w:tc>
      </w:tr>
      <w:tr w:rsidR="001C1ABD" w:rsidTr="0035020E">
        <w:tc>
          <w:tcPr>
            <w:tcW w:w="4338" w:type="dxa"/>
            <w:tcBorders>
              <w:right w:val="single" w:sz="12" w:space="0" w:color="auto"/>
            </w:tcBorders>
          </w:tcPr>
          <w:p w:rsidR="001C1ABD" w:rsidRDefault="001C1ABD" w:rsidP="00F90915">
            <w:pPr>
              <w:spacing w:after="200" w:line="276" w:lineRule="auto"/>
              <w:jc w:val="center"/>
            </w:pPr>
            <w:r>
              <w:t>t</w:t>
            </w:r>
            <w:r>
              <w:rPr>
                <w:vertAlign w:val="subscript"/>
              </w:rPr>
              <w:t>n</w:t>
            </w:r>
          </w:p>
        </w:tc>
        <w:tc>
          <w:tcPr>
            <w:tcW w:w="1440" w:type="dxa"/>
            <w:tcBorders>
              <w:left w:val="single" w:sz="12" w:space="0" w:color="auto"/>
            </w:tcBorders>
          </w:tcPr>
          <w:p w:rsidR="001C1ABD" w:rsidRDefault="001C1ABD" w:rsidP="00AF5DB2">
            <w:pPr>
              <w:spacing w:after="200" w:line="276" w:lineRule="auto"/>
              <w:jc w:val="center"/>
            </w:pPr>
            <w:r>
              <w:t>25%</w:t>
            </w:r>
          </w:p>
        </w:tc>
        <w:tc>
          <w:tcPr>
            <w:tcW w:w="1620" w:type="dxa"/>
            <w:tcBorders>
              <w:left w:val="single" w:sz="12" w:space="0" w:color="auto"/>
            </w:tcBorders>
          </w:tcPr>
          <w:p w:rsidR="001C1ABD" w:rsidRDefault="001C1ABD" w:rsidP="00647671">
            <w:pPr>
              <w:spacing w:after="200" w:line="276" w:lineRule="auto"/>
              <w:jc w:val="center"/>
            </w:pPr>
            <w:r>
              <w:t>15%</w:t>
            </w:r>
          </w:p>
        </w:tc>
      </w:tr>
      <w:tr w:rsidR="001C1ABD" w:rsidTr="0035020E">
        <w:tc>
          <w:tcPr>
            <w:tcW w:w="4338" w:type="dxa"/>
            <w:tcBorders>
              <w:right w:val="single" w:sz="12" w:space="0" w:color="auto"/>
            </w:tcBorders>
          </w:tcPr>
          <w:p w:rsidR="001C1ABD" w:rsidRDefault="001C1ABD" w:rsidP="00F90915">
            <w:pPr>
              <w:spacing w:after="200" w:line="276" w:lineRule="auto"/>
              <w:jc w:val="center"/>
            </w:pPr>
            <w:r>
              <w:t>g</w:t>
            </w:r>
            <w:r>
              <w:rPr>
                <w:vertAlign w:val="subscript"/>
              </w:rPr>
              <w:t>n</w:t>
            </w:r>
          </w:p>
        </w:tc>
        <w:tc>
          <w:tcPr>
            <w:tcW w:w="1440" w:type="dxa"/>
            <w:tcBorders>
              <w:left w:val="single" w:sz="12" w:space="0" w:color="auto"/>
            </w:tcBorders>
          </w:tcPr>
          <w:p w:rsidR="001C1ABD" w:rsidRDefault="001C1ABD" w:rsidP="00AF5DB2">
            <w:pPr>
              <w:spacing w:after="200" w:line="276" w:lineRule="auto"/>
              <w:jc w:val="center"/>
            </w:pPr>
            <w:r>
              <w:t>15%</w:t>
            </w:r>
          </w:p>
        </w:tc>
        <w:tc>
          <w:tcPr>
            <w:tcW w:w="1620" w:type="dxa"/>
            <w:tcBorders>
              <w:left w:val="single" w:sz="12" w:space="0" w:color="auto"/>
            </w:tcBorders>
          </w:tcPr>
          <w:p w:rsidR="001C1ABD" w:rsidRDefault="001C1ABD" w:rsidP="00647671">
            <w:pPr>
              <w:spacing w:after="200" w:line="276" w:lineRule="auto"/>
              <w:jc w:val="center"/>
            </w:pPr>
            <w:r>
              <w:t>0%</w:t>
            </w:r>
          </w:p>
        </w:tc>
      </w:tr>
      <w:tr w:rsidR="001C1ABD" w:rsidTr="0035020E">
        <w:tc>
          <w:tcPr>
            <w:tcW w:w="4338" w:type="dxa"/>
            <w:tcBorders>
              <w:right w:val="single" w:sz="12" w:space="0" w:color="auto"/>
            </w:tcBorders>
          </w:tcPr>
          <w:p w:rsidR="001C1ABD" w:rsidRDefault="001C1ABD" w:rsidP="00F90915">
            <w:pPr>
              <w:spacing w:after="200" w:line="276" w:lineRule="auto"/>
              <w:jc w:val="center"/>
            </w:pPr>
            <w:r>
              <w:rPr>
                <w:u w:val="single"/>
              </w:rPr>
              <w:t>[1] ATFV: Stocks In – Bonds Out</w:t>
            </w:r>
          </w:p>
        </w:tc>
        <w:tc>
          <w:tcPr>
            <w:tcW w:w="1440" w:type="dxa"/>
            <w:tcBorders>
              <w:left w:val="single" w:sz="12" w:space="0" w:color="auto"/>
            </w:tcBorders>
          </w:tcPr>
          <w:p w:rsidR="001C1ABD" w:rsidRPr="00AF5DB2" w:rsidRDefault="001C1ABD" w:rsidP="00B452E3">
            <w:pPr>
              <w:spacing w:after="200" w:line="276" w:lineRule="auto"/>
              <w:jc w:val="center"/>
            </w:pPr>
            <w:r w:rsidRPr="00AF5DB2">
              <w:t>$1</w:t>
            </w:r>
            <w:r>
              <w:t>2</w:t>
            </w:r>
            <w:r w:rsidRPr="00AF5DB2">
              <w:t>1,</w:t>
            </w:r>
            <w:r>
              <w:t>258</w:t>
            </w:r>
          </w:p>
        </w:tc>
        <w:tc>
          <w:tcPr>
            <w:tcW w:w="1620" w:type="dxa"/>
            <w:tcBorders>
              <w:left w:val="single" w:sz="12" w:space="0" w:color="auto"/>
            </w:tcBorders>
          </w:tcPr>
          <w:p w:rsidR="001C1ABD" w:rsidRPr="00AF5DB2" w:rsidRDefault="001C1ABD" w:rsidP="00AF5DB2">
            <w:pPr>
              <w:spacing w:after="200" w:line="276" w:lineRule="auto"/>
              <w:jc w:val="center"/>
            </w:pPr>
            <w:r w:rsidRPr="00AF5DB2">
              <w:t>$13</w:t>
            </w:r>
            <w:r>
              <w:t>2</w:t>
            </w:r>
            <w:r w:rsidRPr="00AF5DB2">
              <w:t>,</w:t>
            </w:r>
            <w:r>
              <w:t>910</w:t>
            </w:r>
          </w:p>
        </w:tc>
      </w:tr>
      <w:tr w:rsidR="001C1ABD" w:rsidTr="0035020E">
        <w:tc>
          <w:tcPr>
            <w:tcW w:w="4338" w:type="dxa"/>
            <w:tcBorders>
              <w:right w:val="single" w:sz="12" w:space="0" w:color="auto"/>
            </w:tcBorders>
          </w:tcPr>
          <w:p w:rsidR="001C1ABD" w:rsidRPr="006E00B2" w:rsidRDefault="001C1ABD" w:rsidP="006E00B2">
            <w:pPr>
              <w:spacing w:after="200" w:line="276" w:lineRule="auto"/>
              <w:jc w:val="center"/>
              <w:rPr>
                <w:u w:val="single"/>
              </w:rPr>
            </w:pPr>
            <w:r>
              <w:rPr>
                <w:u w:val="single"/>
              </w:rPr>
              <w:t>[2] ATFV: Bonds In – Stocks Out</w:t>
            </w:r>
          </w:p>
        </w:tc>
        <w:tc>
          <w:tcPr>
            <w:tcW w:w="1440" w:type="dxa"/>
            <w:tcBorders>
              <w:left w:val="single" w:sz="12" w:space="0" w:color="auto"/>
            </w:tcBorders>
          </w:tcPr>
          <w:p w:rsidR="001C1ABD" w:rsidRPr="00AF5DB2" w:rsidRDefault="001C1ABD" w:rsidP="00E401C2">
            <w:pPr>
              <w:spacing w:after="200" w:line="276" w:lineRule="auto"/>
              <w:jc w:val="center"/>
              <w:rPr>
                <w:u w:val="single"/>
              </w:rPr>
            </w:pPr>
            <w:r w:rsidRPr="00AF5DB2">
              <w:rPr>
                <w:u w:val="single"/>
              </w:rPr>
              <w:t>$</w:t>
            </w:r>
            <w:r w:rsidRPr="00E401C2">
              <w:rPr>
                <w:u w:val="single"/>
              </w:rPr>
              <w:t>116,277</w:t>
            </w:r>
          </w:p>
        </w:tc>
        <w:tc>
          <w:tcPr>
            <w:tcW w:w="1620" w:type="dxa"/>
            <w:tcBorders>
              <w:left w:val="single" w:sz="12" w:space="0" w:color="auto"/>
            </w:tcBorders>
          </w:tcPr>
          <w:p w:rsidR="001C1ABD" w:rsidRPr="00AF5DB2" w:rsidRDefault="001C1ABD" w:rsidP="00AF5DB2">
            <w:pPr>
              <w:spacing w:after="200" w:line="276" w:lineRule="auto"/>
              <w:jc w:val="center"/>
              <w:rPr>
                <w:u w:val="single"/>
              </w:rPr>
            </w:pPr>
            <w:r w:rsidRPr="00AF5DB2">
              <w:rPr>
                <w:u w:val="single"/>
              </w:rPr>
              <w:t>$1</w:t>
            </w:r>
            <w:r>
              <w:rPr>
                <w:u w:val="single"/>
              </w:rPr>
              <w:t>29</w:t>
            </w:r>
            <w:r w:rsidRPr="00AF5DB2">
              <w:rPr>
                <w:u w:val="single"/>
              </w:rPr>
              <w:t>,</w:t>
            </w:r>
            <w:r>
              <w:rPr>
                <w:u w:val="single"/>
              </w:rPr>
              <w:t>225</w:t>
            </w:r>
          </w:p>
        </w:tc>
      </w:tr>
      <w:tr w:rsidR="001C1ABD" w:rsidTr="0035020E">
        <w:tc>
          <w:tcPr>
            <w:tcW w:w="4338" w:type="dxa"/>
            <w:tcBorders>
              <w:right w:val="single" w:sz="12" w:space="0" w:color="auto"/>
            </w:tcBorders>
          </w:tcPr>
          <w:p w:rsidR="001C1ABD" w:rsidRDefault="001C1ABD" w:rsidP="003C1B9A">
            <w:pPr>
              <w:spacing w:after="200" w:line="276" w:lineRule="auto"/>
              <w:jc w:val="center"/>
            </w:pPr>
            <w:r>
              <w:t>[1] – [2] = [3] Difference</w:t>
            </w:r>
          </w:p>
        </w:tc>
        <w:tc>
          <w:tcPr>
            <w:tcW w:w="1440" w:type="dxa"/>
            <w:tcBorders>
              <w:left w:val="single" w:sz="12" w:space="0" w:color="auto"/>
            </w:tcBorders>
          </w:tcPr>
          <w:p w:rsidR="001C1ABD" w:rsidRPr="00AF5DB2" w:rsidRDefault="001C1ABD" w:rsidP="00E401C2">
            <w:pPr>
              <w:spacing w:after="200" w:line="276" w:lineRule="auto"/>
              <w:jc w:val="center"/>
            </w:pPr>
            <w:r w:rsidRPr="00AF5DB2">
              <w:t>$</w:t>
            </w:r>
            <w:r>
              <w:t>4</w:t>
            </w:r>
            <w:r w:rsidRPr="00AF5DB2">
              <w:t>,</w:t>
            </w:r>
            <w:r>
              <w:t>981</w:t>
            </w:r>
          </w:p>
        </w:tc>
        <w:tc>
          <w:tcPr>
            <w:tcW w:w="1620" w:type="dxa"/>
            <w:tcBorders>
              <w:left w:val="single" w:sz="12" w:space="0" w:color="auto"/>
            </w:tcBorders>
          </w:tcPr>
          <w:p w:rsidR="001C1ABD" w:rsidRPr="00AF5DB2" w:rsidRDefault="001C1ABD" w:rsidP="00AF5DB2">
            <w:pPr>
              <w:spacing w:after="200" w:line="276" w:lineRule="auto"/>
              <w:jc w:val="center"/>
            </w:pPr>
            <w:r w:rsidRPr="00AF5DB2">
              <w:t>$</w:t>
            </w:r>
            <w:r>
              <w:t>3</w:t>
            </w:r>
            <w:r w:rsidRPr="00AF5DB2">
              <w:t>,</w:t>
            </w:r>
            <w:r>
              <w:t>685</w:t>
            </w:r>
          </w:p>
        </w:tc>
      </w:tr>
      <w:tr w:rsidR="001C1ABD" w:rsidTr="0035020E">
        <w:tc>
          <w:tcPr>
            <w:tcW w:w="4338" w:type="dxa"/>
            <w:tcBorders>
              <w:right w:val="single" w:sz="12" w:space="0" w:color="auto"/>
            </w:tcBorders>
          </w:tcPr>
          <w:p w:rsidR="001C1ABD" w:rsidRDefault="001C1ABD" w:rsidP="00E9684A">
            <w:pPr>
              <w:spacing w:after="200" w:line="276" w:lineRule="auto"/>
              <w:jc w:val="center"/>
            </w:pPr>
            <w:r>
              <w:t xml:space="preserve">[3] / [2] Percentage </w:t>
            </w:r>
            <w:r w:rsidR="00E9684A">
              <w:t>i</w:t>
            </w:r>
            <w:r>
              <w:t>ncrease</w:t>
            </w:r>
          </w:p>
        </w:tc>
        <w:tc>
          <w:tcPr>
            <w:tcW w:w="1440" w:type="dxa"/>
            <w:tcBorders>
              <w:left w:val="single" w:sz="12" w:space="0" w:color="auto"/>
            </w:tcBorders>
          </w:tcPr>
          <w:p w:rsidR="001C1ABD" w:rsidRDefault="001C1ABD" w:rsidP="00AF5DB2">
            <w:pPr>
              <w:spacing w:after="200" w:line="276" w:lineRule="auto"/>
              <w:jc w:val="center"/>
            </w:pPr>
            <w:r>
              <w:t>4.3%</w:t>
            </w:r>
          </w:p>
        </w:tc>
        <w:tc>
          <w:tcPr>
            <w:tcW w:w="1620" w:type="dxa"/>
            <w:tcBorders>
              <w:left w:val="single" w:sz="12" w:space="0" w:color="auto"/>
            </w:tcBorders>
          </w:tcPr>
          <w:p w:rsidR="001C1ABD" w:rsidRDefault="001C1ABD" w:rsidP="00AF5DB2">
            <w:pPr>
              <w:spacing w:after="200" w:line="276" w:lineRule="auto"/>
              <w:jc w:val="center"/>
            </w:pPr>
            <w:r>
              <w:t>2.9%</w:t>
            </w:r>
          </w:p>
        </w:tc>
      </w:tr>
    </w:tbl>
    <w:p w:rsidR="00921BCE" w:rsidRDefault="00921BCE" w:rsidP="008F3D89">
      <w:pPr>
        <w:spacing w:after="200" w:line="276" w:lineRule="auto"/>
      </w:pPr>
    </w:p>
    <w:p w:rsidR="004E1B92" w:rsidRPr="00324584" w:rsidRDefault="004E1B92" w:rsidP="00951A49">
      <w:pPr>
        <w:spacing w:after="200" w:line="480" w:lineRule="auto"/>
        <w:ind w:firstLine="720"/>
      </w:pPr>
      <w:r>
        <w:t>Assume</w:t>
      </w:r>
      <w:r w:rsidR="009E4EF8">
        <w:t xml:space="preserve"> that</w:t>
      </w:r>
      <w:r w:rsidR="00C92F78">
        <w:t xml:space="preserve"> </w:t>
      </w:r>
      <w:r>
        <w:t xml:space="preserve">instead of </w:t>
      </w:r>
      <w:r w:rsidR="00D60BCD">
        <w:t>8%</w:t>
      </w:r>
      <w:r>
        <w:t>, R</w:t>
      </w:r>
      <w:r w:rsidR="005D73A2">
        <w:rPr>
          <w:vertAlign w:val="subscript"/>
        </w:rPr>
        <w:t>S</w:t>
      </w:r>
      <w:r>
        <w:t xml:space="preserve"> </w:t>
      </w:r>
      <w:r w:rsidR="00D60BCD">
        <w:t>is higher and</w:t>
      </w:r>
      <w:r w:rsidR="00E553C3">
        <w:t>/or</w:t>
      </w:r>
      <w:r w:rsidR="00D60BCD">
        <w:t xml:space="preserve"> </w:t>
      </w:r>
      <w:r>
        <w:t xml:space="preserve">that instead of </w:t>
      </w:r>
      <w:r w:rsidR="00D60BCD">
        <w:t>4</w:t>
      </w:r>
      <w:r>
        <w:t>%, R</w:t>
      </w:r>
      <w:r>
        <w:rPr>
          <w:vertAlign w:val="subscript"/>
        </w:rPr>
        <w:t>B</w:t>
      </w:r>
      <w:r>
        <w:t xml:space="preserve"> </w:t>
      </w:r>
      <w:r w:rsidR="00D60BCD">
        <w:t xml:space="preserve">is lower. For scenarios 1 </w:t>
      </w:r>
      <w:r w:rsidR="00324584">
        <w:t xml:space="preserve">and </w:t>
      </w:r>
      <w:r w:rsidR="001C1ABD">
        <w:t>2</w:t>
      </w:r>
      <w:r w:rsidR="0035020E">
        <w:t>,</w:t>
      </w:r>
      <w:r w:rsidR="008041D2">
        <w:t xml:space="preserve"> Stocks In – Bonds Out </w:t>
      </w:r>
      <w:r w:rsidR="003A7148">
        <w:t xml:space="preserve">instead of </w:t>
      </w:r>
      <w:r w:rsidR="008041D2">
        <w:t>Bonds In – Stocks Out</w:t>
      </w:r>
      <w:r w:rsidR="003A7148">
        <w:t xml:space="preserve"> will increase wealth </w:t>
      </w:r>
      <w:r w:rsidR="00DB4D72">
        <w:t xml:space="preserve">by </w:t>
      </w:r>
      <w:r w:rsidR="00402C23">
        <w:t xml:space="preserve">a larger percentage </w:t>
      </w:r>
      <w:r w:rsidR="003A7148">
        <w:t xml:space="preserve">than in Table </w:t>
      </w:r>
      <w:r w:rsidR="00DB4D72">
        <w:t>1</w:t>
      </w:r>
      <w:r w:rsidR="00D60BCD">
        <w:t>.</w:t>
      </w:r>
      <w:r w:rsidR="00324584">
        <w:t xml:space="preserve"> </w:t>
      </w:r>
    </w:p>
    <w:p w:rsidR="00A325D3" w:rsidRPr="004E1B92" w:rsidRDefault="00A325D3" w:rsidP="00951A49">
      <w:pPr>
        <w:spacing w:line="480" w:lineRule="auto"/>
      </w:pPr>
    </w:p>
    <w:p w:rsidR="003F02CF" w:rsidRPr="008041D2" w:rsidRDefault="003F02CF" w:rsidP="00951A49">
      <w:pPr>
        <w:spacing w:line="480" w:lineRule="auto"/>
        <w:rPr>
          <w:b/>
        </w:rPr>
      </w:pPr>
      <w:r w:rsidRPr="008041D2">
        <w:rPr>
          <w:b/>
        </w:rPr>
        <w:t xml:space="preserve">Sensitivity Analysis—Change n = 20 </w:t>
      </w:r>
      <w:r w:rsidR="00CA45B9">
        <w:rPr>
          <w:b/>
        </w:rPr>
        <w:t>Y</w:t>
      </w:r>
      <w:r w:rsidRPr="008041D2">
        <w:rPr>
          <w:b/>
        </w:rPr>
        <w:t xml:space="preserve">ears to 10 </w:t>
      </w:r>
      <w:r w:rsidR="000818CC">
        <w:rPr>
          <w:b/>
        </w:rPr>
        <w:t>Y</w:t>
      </w:r>
      <w:r w:rsidRPr="008041D2">
        <w:rPr>
          <w:b/>
        </w:rPr>
        <w:t>ears</w:t>
      </w:r>
      <w:r w:rsidR="00E7051A" w:rsidRPr="008041D2">
        <w:rPr>
          <w:b/>
        </w:rPr>
        <w:t xml:space="preserve"> or</w:t>
      </w:r>
      <w:r w:rsidRPr="008041D2">
        <w:rPr>
          <w:b/>
        </w:rPr>
        <w:t xml:space="preserve"> 30 </w:t>
      </w:r>
      <w:r w:rsidR="00CA45B9">
        <w:rPr>
          <w:b/>
        </w:rPr>
        <w:t>Y</w:t>
      </w:r>
      <w:r w:rsidRPr="008041D2">
        <w:rPr>
          <w:b/>
        </w:rPr>
        <w:t>ears</w:t>
      </w:r>
    </w:p>
    <w:p w:rsidR="00951A49" w:rsidRDefault="00951A49" w:rsidP="00951A49">
      <w:pPr>
        <w:spacing w:line="480" w:lineRule="auto"/>
      </w:pPr>
    </w:p>
    <w:p w:rsidR="009D724A" w:rsidRDefault="00C92F78" w:rsidP="00951A49">
      <w:pPr>
        <w:spacing w:after="200" w:line="480" w:lineRule="auto"/>
        <w:ind w:firstLine="720"/>
      </w:pPr>
      <w:r>
        <w:t>In this example, it c</w:t>
      </w:r>
      <w:r w:rsidR="00A20E3D">
        <w:t>ontinue</w:t>
      </w:r>
      <w:r>
        <w:t>s</w:t>
      </w:r>
      <w:r w:rsidR="00A20E3D">
        <w:t xml:space="preserve"> to </w:t>
      </w:r>
      <w:r>
        <w:t xml:space="preserve">be </w:t>
      </w:r>
      <w:r w:rsidR="00A20E3D">
        <w:t>assume</w:t>
      </w:r>
      <w:r>
        <w:t>d that</w:t>
      </w:r>
      <w:r w:rsidR="00A20E3D">
        <w:t xml:space="preserve"> R</w:t>
      </w:r>
      <w:r w:rsidR="005D73A2">
        <w:rPr>
          <w:vertAlign w:val="subscript"/>
        </w:rPr>
        <w:t>S</w:t>
      </w:r>
      <w:r w:rsidR="00A20E3D">
        <w:t xml:space="preserve"> = </w:t>
      </w:r>
      <w:r w:rsidR="0035020E">
        <w:t>8</w:t>
      </w:r>
      <w:r w:rsidR="00A20E3D">
        <w:t>% and R</w:t>
      </w:r>
      <w:r w:rsidR="00A20E3D">
        <w:rPr>
          <w:vertAlign w:val="subscript"/>
        </w:rPr>
        <w:t>B</w:t>
      </w:r>
      <w:r w:rsidR="00A20E3D">
        <w:t xml:space="preserve"> </w:t>
      </w:r>
      <w:r w:rsidR="0035020E">
        <w:t>= 4</w:t>
      </w:r>
      <w:r w:rsidR="00A20E3D">
        <w:t xml:space="preserve">%. </w:t>
      </w:r>
      <w:r w:rsidR="003F02CF">
        <w:t xml:space="preserve">As stated earlier, Anderson and Murphy point out that </w:t>
      </w:r>
      <w:r w:rsidR="003F02CF" w:rsidRPr="003F02CF">
        <w:t xml:space="preserve">“the best </w:t>
      </w:r>
      <w:r w:rsidR="00BE2D04">
        <w:t>(</w:t>
      </w:r>
      <w:r w:rsidR="003F02CF" w:rsidRPr="003F02CF">
        <w:t>location of stocks and bonds) depends on…rate of return, tax rates (throughout the life of the investment), and the investment horizon.”</w:t>
      </w:r>
      <w:r w:rsidR="003F02CF">
        <w:t xml:space="preserve"> The analysis thus far has varied the first two variables but not the last variable</w:t>
      </w:r>
      <w:r w:rsidR="00B9113D">
        <w:t xml:space="preserve">, which is </w:t>
      </w:r>
      <w:r w:rsidR="003F02CF">
        <w:t>investment horizon.</w:t>
      </w:r>
      <w:r w:rsidR="0045543E">
        <w:t xml:space="preserve"> </w:t>
      </w:r>
      <w:r w:rsidR="005D13E8">
        <w:t>I</w:t>
      </w:r>
      <w:r w:rsidR="0045543E">
        <w:t xml:space="preserve">t is possible that the preference of </w:t>
      </w:r>
      <w:r w:rsidR="008041D2">
        <w:t>S</w:t>
      </w:r>
      <w:r w:rsidR="0045543E">
        <w:t xml:space="preserve">tocks </w:t>
      </w:r>
      <w:r w:rsidR="008041D2">
        <w:t>I</w:t>
      </w:r>
      <w:r w:rsidR="0045543E">
        <w:t>n</w:t>
      </w:r>
      <w:r w:rsidR="00E7051A">
        <w:t xml:space="preserve"> – </w:t>
      </w:r>
      <w:r w:rsidR="008041D2">
        <w:t>B</w:t>
      </w:r>
      <w:r w:rsidR="00E7051A">
        <w:t xml:space="preserve">onds </w:t>
      </w:r>
      <w:r w:rsidR="008041D2">
        <w:t>O</w:t>
      </w:r>
      <w:r w:rsidR="0045543E">
        <w:t xml:space="preserve">ut could change to </w:t>
      </w:r>
      <w:r w:rsidR="008041D2">
        <w:t>B</w:t>
      </w:r>
      <w:r w:rsidR="0045543E">
        <w:t xml:space="preserve">onds </w:t>
      </w:r>
      <w:r w:rsidR="008041D2">
        <w:t>I</w:t>
      </w:r>
      <w:r w:rsidR="0045543E">
        <w:t>n</w:t>
      </w:r>
      <w:r w:rsidR="00E7051A">
        <w:t xml:space="preserve"> – </w:t>
      </w:r>
      <w:r w:rsidR="008041D2">
        <w:t>S</w:t>
      </w:r>
      <w:r w:rsidR="00E7051A">
        <w:t xml:space="preserve">tocks </w:t>
      </w:r>
      <w:r w:rsidR="008041D2">
        <w:t xml:space="preserve">Out </w:t>
      </w:r>
      <w:r w:rsidR="0045543E">
        <w:t xml:space="preserve">when the number of years </w:t>
      </w:r>
      <w:r w:rsidR="009E4EF8">
        <w:t xml:space="preserve">that </w:t>
      </w:r>
      <w:r w:rsidR="0045543E">
        <w:t xml:space="preserve">an investment benefits from tax deferred growth changes.  Reviewing the investment models, </w:t>
      </w:r>
      <w:r w:rsidR="0035020E">
        <w:t xml:space="preserve">the hybrid of </w:t>
      </w:r>
      <w:r w:rsidR="0045543E">
        <w:t xml:space="preserve">models </w:t>
      </w:r>
      <w:r w:rsidR="0035020E">
        <w:t xml:space="preserve">2 and </w:t>
      </w:r>
      <w:r w:rsidR="0045543E">
        <w:t>3 (</w:t>
      </w:r>
      <w:r w:rsidR="0035020E">
        <w:t xml:space="preserve">i.e., mutual fund of </w:t>
      </w:r>
      <w:r w:rsidR="00BE2D04">
        <w:t xml:space="preserve">appreciating, dividend-paying </w:t>
      </w:r>
      <w:r w:rsidR="0035020E">
        <w:t>stocks</w:t>
      </w:r>
      <w:r w:rsidR="0045543E">
        <w:t xml:space="preserve">) and </w:t>
      </w:r>
      <w:r w:rsidR="0035020E">
        <w:t xml:space="preserve">model </w:t>
      </w:r>
      <w:r w:rsidR="0045543E">
        <w:t>4</w:t>
      </w:r>
      <w:r w:rsidR="00F72DE3">
        <w:t>, the TDA</w:t>
      </w:r>
      <w:r w:rsidR="005D73A2">
        <w:t xml:space="preserve">, </w:t>
      </w:r>
      <w:r w:rsidR="0045543E">
        <w:t>benefit from tax</w:t>
      </w:r>
      <w:r w:rsidR="00AF15C3">
        <w:t>-</w:t>
      </w:r>
      <w:r w:rsidR="0045543E">
        <w:t xml:space="preserve">deferred growth. </w:t>
      </w:r>
      <w:r w:rsidR="0045543E">
        <w:lastRenderedPageBreak/>
        <w:t>In contrast, model 1 (</w:t>
      </w:r>
      <w:r w:rsidR="005D73A2">
        <w:t>i</w:t>
      </w:r>
      <w:r w:rsidR="0045543E">
        <w:t>.</w:t>
      </w:r>
      <w:r w:rsidR="005D73A2">
        <w:t>e</w:t>
      </w:r>
      <w:r w:rsidR="0045543E">
        <w:t>., taxable bond</w:t>
      </w:r>
      <w:r w:rsidR="00051867">
        <w:t>s</w:t>
      </w:r>
      <w:r w:rsidR="0045543E">
        <w:t xml:space="preserve"> held in a taxable account) </w:t>
      </w:r>
      <w:r w:rsidR="009D724A">
        <w:t>do</w:t>
      </w:r>
      <w:r w:rsidR="0035020E">
        <w:t>es</w:t>
      </w:r>
      <w:r w:rsidR="009D724A">
        <w:t xml:space="preserve"> not </w:t>
      </w:r>
      <w:r w:rsidR="008041D2">
        <w:t xml:space="preserve">benefit from </w:t>
      </w:r>
      <w:r w:rsidR="009D724A">
        <w:t>tax</w:t>
      </w:r>
      <w:r w:rsidR="008F14E8">
        <w:t>-</w:t>
      </w:r>
      <w:r w:rsidR="009D724A">
        <w:t>deferred growth.</w:t>
      </w:r>
      <w:r w:rsidR="008041D2">
        <w:t xml:space="preserve"> </w:t>
      </w:r>
      <w:r w:rsidR="00DB4D72">
        <w:t>I</w:t>
      </w:r>
      <w:r w:rsidR="00F37708">
        <w:t xml:space="preserve">n Table </w:t>
      </w:r>
      <w:r w:rsidR="0035020E">
        <w:t>2</w:t>
      </w:r>
      <w:r w:rsidR="00F37708">
        <w:t xml:space="preserve">, </w:t>
      </w:r>
      <w:r w:rsidR="008041D2">
        <w:t>scenarios 1</w:t>
      </w:r>
      <w:r w:rsidR="0035020E">
        <w:t xml:space="preserve"> </w:t>
      </w:r>
      <w:r w:rsidR="001C1ABD">
        <w:t>and 2</w:t>
      </w:r>
      <w:r w:rsidR="008041D2">
        <w:t xml:space="preserve"> are rerun assuming n = 30 years (</w:t>
      </w:r>
      <w:r w:rsidR="00B83E83">
        <w:t xml:space="preserve">the </w:t>
      </w:r>
      <w:r w:rsidR="008041D2">
        <w:t xml:space="preserve">first </w:t>
      </w:r>
      <w:r w:rsidR="001C1ABD">
        <w:t>two</w:t>
      </w:r>
      <w:r w:rsidR="008041D2">
        <w:t xml:space="preserve"> columns) and n = 10 years (</w:t>
      </w:r>
      <w:r w:rsidR="00B83E83">
        <w:t xml:space="preserve">the </w:t>
      </w:r>
      <w:r w:rsidR="008041D2">
        <w:t xml:space="preserve">last </w:t>
      </w:r>
      <w:r w:rsidR="001C1ABD">
        <w:t>two</w:t>
      </w:r>
      <w:r w:rsidR="008041D2">
        <w:t xml:space="preserve"> columns):</w:t>
      </w:r>
    </w:p>
    <w:p w:rsidR="0035020E" w:rsidRPr="0032114B" w:rsidRDefault="00F0435B" w:rsidP="0032114B">
      <w:pPr>
        <w:jc w:val="center"/>
        <w:rPr>
          <w:b/>
        </w:rPr>
      </w:pPr>
      <w:r w:rsidRPr="0032114B">
        <w:rPr>
          <w:b/>
        </w:rPr>
        <w:t>Table 2</w:t>
      </w:r>
    </w:p>
    <w:tbl>
      <w:tblPr>
        <w:tblStyle w:val="TableGrid"/>
        <w:tblpPr w:leftFromText="180" w:rightFromText="180" w:vertAnchor="text" w:horzAnchor="margin" w:tblpXSpec="center" w:tblpY="162"/>
        <w:tblW w:w="7518" w:type="dxa"/>
        <w:tblLook w:val="04A0" w:firstRow="1" w:lastRow="0" w:firstColumn="1" w:lastColumn="0" w:noHBand="0" w:noVBand="1"/>
      </w:tblPr>
      <w:tblGrid>
        <w:gridCol w:w="1458"/>
        <w:gridCol w:w="1530"/>
        <w:gridCol w:w="1500"/>
        <w:gridCol w:w="1530"/>
        <w:gridCol w:w="1500"/>
      </w:tblGrid>
      <w:tr w:rsidR="001C1ABD" w:rsidTr="001C1ABD">
        <w:tc>
          <w:tcPr>
            <w:tcW w:w="1458" w:type="dxa"/>
            <w:tcBorders>
              <w:right w:val="single" w:sz="12" w:space="0" w:color="auto"/>
            </w:tcBorders>
          </w:tcPr>
          <w:p w:rsidR="001C1ABD" w:rsidRPr="00DB4D72" w:rsidRDefault="001C1ABD" w:rsidP="00DB4D72">
            <w:pPr>
              <w:spacing w:after="200" w:line="276" w:lineRule="auto"/>
              <w:rPr>
                <w:b/>
              </w:rPr>
            </w:pPr>
          </w:p>
        </w:tc>
        <w:tc>
          <w:tcPr>
            <w:tcW w:w="1530" w:type="dxa"/>
            <w:tcBorders>
              <w:left w:val="single" w:sz="12" w:space="0" w:color="auto"/>
            </w:tcBorders>
          </w:tcPr>
          <w:p w:rsidR="001C1ABD" w:rsidRPr="00FE323C" w:rsidRDefault="001C1ABD" w:rsidP="0042653E">
            <w:pPr>
              <w:spacing w:after="200" w:line="276" w:lineRule="auto"/>
              <w:jc w:val="center"/>
              <w:rPr>
                <w:b/>
                <w:u w:val="single"/>
              </w:rPr>
            </w:pPr>
            <w:r w:rsidRPr="00FE323C">
              <w:rPr>
                <w:b/>
                <w:u w:val="single"/>
              </w:rPr>
              <w:t xml:space="preserve">Scenario 1 </w:t>
            </w:r>
            <w:r w:rsidR="0042653E" w:rsidRPr="00FE323C">
              <w:rPr>
                <w:b/>
                <w:u w:val="single"/>
              </w:rPr>
              <w:t>with n = 30</w:t>
            </w:r>
          </w:p>
        </w:tc>
        <w:tc>
          <w:tcPr>
            <w:tcW w:w="1500" w:type="dxa"/>
            <w:tcBorders>
              <w:left w:val="single" w:sz="12" w:space="0" w:color="auto"/>
            </w:tcBorders>
          </w:tcPr>
          <w:p w:rsidR="001C1ABD" w:rsidRPr="00FE323C" w:rsidRDefault="001C1ABD" w:rsidP="0042653E">
            <w:pPr>
              <w:spacing w:after="200" w:line="276" w:lineRule="auto"/>
              <w:jc w:val="center"/>
              <w:rPr>
                <w:b/>
                <w:u w:val="single"/>
              </w:rPr>
            </w:pPr>
            <w:r w:rsidRPr="00FE323C">
              <w:rPr>
                <w:b/>
                <w:u w:val="single"/>
              </w:rPr>
              <w:t>Scenario 2</w:t>
            </w:r>
            <w:r w:rsidR="0042653E" w:rsidRPr="00FE323C">
              <w:rPr>
                <w:b/>
                <w:u w:val="single"/>
              </w:rPr>
              <w:t xml:space="preserve"> with n = 30</w:t>
            </w:r>
          </w:p>
        </w:tc>
        <w:tc>
          <w:tcPr>
            <w:tcW w:w="1530" w:type="dxa"/>
            <w:tcBorders>
              <w:left w:val="single" w:sz="12" w:space="0" w:color="auto"/>
              <w:right w:val="single" w:sz="12" w:space="0" w:color="auto"/>
            </w:tcBorders>
          </w:tcPr>
          <w:p w:rsidR="001C1ABD" w:rsidRPr="00FE323C" w:rsidRDefault="001C1ABD" w:rsidP="0035020E">
            <w:pPr>
              <w:spacing w:after="200" w:line="276" w:lineRule="auto"/>
              <w:jc w:val="center"/>
              <w:rPr>
                <w:b/>
                <w:u w:val="single"/>
              </w:rPr>
            </w:pPr>
            <w:r w:rsidRPr="00FE323C">
              <w:rPr>
                <w:b/>
                <w:u w:val="single"/>
              </w:rPr>
              <w:t xml:space="preserve">Scenario 1 </w:t>
            </w:r>
            <w:r w:rsidR="0042653E" w:rsidRPr="00FE323C">
              <w:rPr>
                <w:b/>
                <w:u w:val="single"/>
              </w:rPr>
              <w:t>with n = 10</w:t>
            </w:r>
          </w:p>
        </w:tc>
        <w:tc>
          <w:tcPr>
            <w:tcW w:w="1500" w:type="dxa"/>
            <w:tcBorders>
              <w:left w:val="single" w:sz="12" w:space="0" w:color="auto"/>
            </w:tcBorders>
          </w:tcPr>
          <w:p w:rsidR="001C1ABD" w:rsidRPr="00FE323C" w:rsidRDefault="001C1ABD" w:rsidP="001C1ABD">
            <w:pPr>
              <w:spacing w:after="200" w:line="276" w:lineRule="auto"/>
              <w:jc w:val="center"/>
              <w:rPr>
                <w:b/>
                <w:u w:val="single"/>
              </w:rPr>
            </w:pPr>
            <w:r w:rsidRPr="00FE323C">
              <w:rPr>
                <w:b/>
                <w:u w:val="single"/>
              </w:rPr>
              <w:t>Scenario 2</w:t>
            </w:r>
            <w:r w:rsidR="0042653E" w:rsidRPr="00FE323C">
              <w:rPr>
                <w:b/>
                <w:u w:val="single"/>
              </w:rPr>
              <w:t xml:space="preserve"> with n = 10</w:t>
            </w:r>
          </w:p>
        </w:tc>
      </w:tr>
      <w:tr w:rsidR="001C1ABD" w:rsidTr="001C1ABD">
        <w:tc>
          <w:tcPr>
            <w:tcW w:w="1458" w:type="dxa"/>
            <w:tcBorders>
              <w:right w:val="single" w:sz="12" w:space="0" w:color="auto"/>
            </w:tcBorders>
          </w:tcPr>
          <w:p w:rsidR="001C1ABD" w:rsidRDefault="001C1ABD" w:rsidP="007F2947">
            <w:pPr>
              <w:spacing w:after="200" w:line="276" w:lineRule="auto"/>
              <w:jc w:val="center"/>
            </w:pPr>
            <w:r>
              <w:t>t</w:t>
            </w:r>
            <w:r>
              <w:rPr>
                <w:vertAlign w:val="subscript"/>
              </w:rPr>
              <w:t>n</w:t>
            </w:r>
          </w:p>
        </w:tc>
        <w:tc>
          <w:tcPr>
            <w:tcW w:w="1530" w:type="dxa"/>
            <w:tcBorders>
              <w:left w:val="single" w:sz="12" w:space="0" w:color="auto"/>
            </w:tcBorders>
          </w:tcPr>
          <w:p w:rsidR="001C1ABD" w:rsidRDefault="001C1ABD" w:rsidP="007F2947">
            <w:pPr>
              <w:spacing w:after="200" w:line="276" w:lineRule="auto"/>
              <w:jc w:val="center"/>
            </w:pPr>
            <w:r>
              <w:t>25%</w:t>
            </w:r>
          </w:p>
        </w:tc>
        <w:tc>
          <w:tcPr>
            <w:tcW w:w="1500" w:type="dxa"/>
            <w:tcBorders>
              <w:left w:val="single" w:sz="12" w:space="0" w:color="auto"/>
            </w:tcBorders>
          </w:tcPr>
          <w:p w:rsidR="001C1ABD" w:rsidRDefault="001C1ABD" w:rsidP="007F2947">
            <w:pPr>
              <w:spacing w:after="200" w:line="276" w:lineRule="auto"/>
              <w:jc w:val="center"/>
            </w:pPr>
            <w:r>
              <w:t>15%</w:t>
            </w:r>
          </w:p>
        </w:tc>
        <w:tc>
          <w:tcPr>
            <w:tcW w:w="1530" w:type="dxa"/>
            <w:tcBorders>
              <w:left w:val="single" w:sz="12" w:space="0" w:color="auto"/>
              <w:right w:val="single" w:sz="12" w:space="0" w:color="auto"/>
            </w:tcBorders>
          </w:tcPr>
          <w:p w:rsidR="001C1ABD" w:rsidRDefault="001C1ABD" w:rsidP="007F2947">
            <w:pPr>
              <w:spacing w:after="200" w:line="276" w:lineRule="auto"/>
              <w:jc w:val="center"/>
            </w:pPr>
            <w:r>
              <w:t>25%</w:t>
            </w:r>
          </w:p>
        </w:tc>
        <w:tc>
          <w:tcPr>
            <w:tcW w:w="1500" w:type="dxa"/>
            <w:tcBorders>
              <w:left w:val="single" w:sz="12" w:space="0" w:color="auto"/>
            </w:tcBorders>
          </w:tcPr>
          <w:p w:rsidR="001C1ABD" w:rsidRDefault="001C1ABD" w:rsidP="007F2947">
            <w:pPr>
              <w:spacing w:after="200" w:line="276" w:lineRule="auto"/>
              <w:jc w:val="center"/>
            </w:pPr>
            <w:r>
              <w:t>15%</w:t>
            </w:r>
          </w:p>
        </w:tc>
      </w:tr>
      <w:tr w:rsidR="001C1ABD" w:rsidTr="001C1ABD">
        <w:tc>
          <w:tcPr>
            <w:tcW w:w="1458" w:type="dxa"/>
            <w:tcBorders>
              <w:right w:val="single" w:sz="12" w:space="0" w:color="auto"/>
            </w:tcBorders>
          </w:tcPr>
          <w:p w:rsidR="001C1ABD" w:rsidRDefault="001C1ABD" w:rsidP="007F2947">
            <w:pPr>
              <w:spacing w:after="200" w:line="276" w:lineRule="auto"/>
              <w:jc w:val="center"/>
            </w:pPr>
            <w:r>
              <w:t>g</w:t>
            </w:r>
            <w:r>
              <w:rPr>
                <w:vertAlign w:val="subscript"/>
              </w:rPr>
              <w:t>n</w:t>
            </w:r>
          </w:p>
        </w:tc>
        <w:tc>
          <w:tcPr>
            <w:tcW w:w="1530" w:type="dxa"/>
            <w:tcBorders>
              <w:left w:val="single" w:sz="12" w:space="0" w:color="auto"/>
            </w:tcBorders>
          </w:tcPr>
          <w:p w:rsidR="001C1ABD" w:rsidRDefault="001C1ABD" w:rsidP="007F2947">
            <w:pPr>
              <w:spacing w:after="200" w:line="276" w:lineRule="auto"/>
              <w:jc w:val="center"/>
            </w:pPr>
            <w:r>
              <w:t>15%</w:t>
            </w:r>
          </w:p>
        </w:tc>
        <w:tc>
          <w:tcPr>
            <w:tcW w:w="1500" w:type="dxa"/>
            <w:tcBorders>
              <w:left w:val="single" w:sz="12" w:space="0" w:color="auto"/>
            </w:tcBorders>
          </w:tcPr>
          <w:p w:rsidR="001C1ABD" w:rsidRDefault="001C1ABD" w:rsidP="007F2947">
            <w:pPr>
              <w:spacing w:after="200" w:line="276" w:lineRule="auto"/>
              <w:jc w:val="center"/>
            </w:pPr>
            <w:r>
              <w:t>0%</w:t>
            </w:r>
          </w:p>
        </w:tc>
        <w:tc>
          <w:tcPr>
            <w:tcW w:w="1530" w:type="dxa"/>
            <w:tcBorders>
              <w:left w:val="single" w:sz="12" w:space="0" w:color="auto"/>
              <w:right w:val="single" w:sz="12" w:space="0" w:color="auto"/>
            </w:tcBorders>
          </w:tcPr>
          <w:p w:rsidR="001C1ABD" w:rsidRDefault="001C1ABD" w:rsidP="007F2947">
            <w:pPr>
              <w:spacing w:after="200" w:line="276" w:lineRule="auto"/>
              <w:jc w:val="center"/>
            </w:pPr>
            <w:r>
              <w:t>15%</w:t>
            </w:r>
          </w:p>
        </w:tc>
        <w:tc>
          <w:tcPr>
            <w:tcW w:w="1500" w:type="dxa"/>
            <w:tcBorders>
              <w:left w:val="single" w:sz="12" w:space="0" w:color="auto"/>
            </w:tcBorders>
          </w:tcPr>
          <w:p w:rsidR="001C1ABD" w:rsidRDefault="001C1ABD" w:rsidP="007F2947">
            <w:pPr>
              <w:spacing w:after="200" w:line="276" w:lineRule="auto"/>
              <w:jc w:val="center"/>
            </w:pPr>
            <w:r>
              <w:t>0%</w:t>
            </w:r>
          </w:p>
        </w:tc>
      </w:tr>
      <w:tr w:rsidR="001C1ABD" w:rsidTr="001C1ABD">
        <w:tc>
          <w:tcPr>
            <w:tcW w:w="1458" w:type="dxa"/>
            <w:tcBorders>
              <w:right w:val="single" w:sz="12" w:space="0" w:color="auto"/>
            </w:tcBorders>
          </w:tcPr>
          <w:p w:rsidR="001C1ABD" w:rsidRDefault="001C1ABD" w:rsidP="007F2947">
            <w:pPr>
              <w:spacing w:after="200" w:line="276" w:lineRule="auto"/>
              <w:jc w:val="center"/>
            </w:pPr>
            <w:r>
              <w:rPr>
                <w:u w:val="single"/>
              </w:rPr>
              <w:t>[1] ATFV: Stocks In – Bonds Out</w:t>
            </w:r>
          </w:p>
        </w:tc>
        <w:tc>
          <w:tcPr>
            <w:tcW w:w="1530" w:type="dxa"/>
            <w:tcBorders>
              <w:left w:val="single" w:sz="12" w:space="0" w:color="auto"/>
            </w:tcBorders>
          </w:tcPr>
          <w:p w:rsidR="001C1ABD" w:rsidRPr="00AF5DB2" w:rsidRDefault="001C1ABD" w:rsidP="00127CE4">
            <w:pPr>
              <w:spacing w:after="200" w:line="276" w:lineRule="auto"/>
              <w:jc w:val="center"/>
            </w:pPr>
            <w:r w:rsidRPr="00AF5DB2">
              <w:t>$</w:t>
            </w:r>
            <w:r>
              <w:t>234</w:t>
            </w:r>
            <w:r w:rsidRPr="00AF5DB2">
              <w:t>,</w:t>
            </w:r>
            <w:r>
              <w:t>186</w:t>
            </w:r>
          </w:p>
        </w:tc>
        <w:tc>
          <w:tcPr>
            <w:tcW w:w="1500" w:type="dxa"/>
            <w:tcBorders>
              <w:left w:val="single" w:sz="12" w:space="0" w:color="auto"/>
            </w:tcBorders>
          </w:tcPr>
          <w:p w:rsidR="001C1ABD" w:rsidRPr="00AF5DB2" w:rsidRDefault="001C1ABD" w:rsidP="007F2947">
            <w:pPr>
              <w:spacing w:after="200" w:line="276" w:lineRule="auto"/>
              <w:jc w:val="center"/>
            </w:pPr>
            <w:r w:rsidRPr="00AF5DB2">
              <w:t>$</w:t>
            </w:r>
            <w:r>
              <w:t>259</w:t>
            </w:r>
            <w:r w:rsidRPr="00AF5DB2">
              <w:t>,</w:t>
            </w:r>
            <w:r>
              <w:t>343</w:t>
            </w:r>
          </w:p>
        </w:tc>
        <w:tc>
          <w:tcPr>
            <w:tcW w:w="1530" w:type="dxa"/>
            <w:tcBorders>
              <w:left w:val="single" w:sz="12" w:space="0" w:color="auto"/>
              <w:right w:val="single" w:sz="12" w:space="0" w:color="auto"/>
            </w:tcBorders>
          </w:tcPr>
          <w:p w:rsidR="001C1ABD" w:rsidRPr="00AF5DB2" w:rsidRDefault="001C1ABD" w:rsidP="007F2947">
            <w:pPr>
              <w:spacing w:after="200" w:line="276" w:lineRule="auto"/>
              <w:jc w:val="center"/>
            </w:pPr>
            <w:r w:rsidRPr="00AF5DB2">
              <w:t>$</w:t>
            </w:r>
            <w:r>
              <w:t>65</w:t>
            </w:r>
            <w:r w:rsidRPr="00AF5DB2">
              <w:t>,</w:t>
            </w:r>
            <w:r>
              <w:t>678</w:t>
            </w:r>
          </w:p>
        </w:tc>
        <w:tc>
          <w:tcPr>
            <w:tcW w:w="1500" w:type="dxa"/>
            <w:tcBorders>
              <w:left w:val="single" w:sz="12" w:space="0" w:color="auto"/>
            </w:tcBorders>
          </w:tcPr>
          <w:p w:rsidR="001C1ABD" w:rsidRPr="00AF5DB2" w:rsidRDefault="001C1ABD" w:rsidP="007F2947">
            <w:pPr>
              <w:spacing w:after="200" w:line="276" w:lineRule="auto"/>
              <w:jc w:val="center"/>
            </w:pPr>
            <w:r w:rsidRPr="00AF5DB2">
              <w:t>$</w:t>
            </w:r>
            <w:r>
              <w:t>71</w:t>
            </w:r>
            <w:r w:rsidRPr="00AF5DB2">
              <w:t>,</w:t>
            </w:r>
            <w:r>
              <w:t>076</w:t>
            </w:r>
          </w:p>
        </w:tc>
      </w:tr>
      <w:tr w:rsidR="001C1ABD" w:rsidTr="001C1ABD">
        <w:tc>
          <w:tcPr>
            <w:tcW w:w="1458" w:type="dxa"/>
            <w:tcBorders>
              <w:right w:val="single" w:sz="12" w:space="0" w:color="auto"/>
            </w:tcBorders>
          </w:tcPr>
          <w:p w:rsidR="001C1ABD" w:rsidRPr="006E00B2" w:rsidRDefault="001C1ABD" w:rsidP="007F2947">
            <w:pPr>
              <w:spacing w:after="200" w:line="276" w:lineRule="auto"/>
              <w:jc w:val="center"/>
              <w:rPr>
                <w:u w:val="single"/>
              </w:rPr>
            </w:pPr>
            <w:r>
              <w:rPr>
                <w:u w:val="single"/>
              </w:rPr>
              <w:t>[2] ATFV: Bonds In – Stocks Out</w:t>
            </w:r>
          </w:p>
        </w:tc>
        <w:tc>
          <w:tcPr>
            <w:tcW w:w="1530" w:type="dxa"/>
            <w:tcBorders>
              <w:left w:val="single" w:sz="12" w:space="0" w:color="auto"/>
            </w:tcBorders>
          </w:tcPr>
          <w:p w:rsidR="001C1ABD" w:rsidRPr="00AF5DB2" w:rsidRDefault="001C1ABD" w:rsidP="007F2947">
            <w:pPr>
              <w:spacing w:after="200" w:line="276" w:lineRule="auto"/>
              <w:jc w:val="center"/>
              <w:rPr>
                <w:u w:val="single"/>
              </w:rPr>
            </w:pPr>
            <w:r w:rsidRPr="00AF5DB2">
              <w:rPr>
                <w:u w:val="single"/>
              </w:rPr>
              <w:t>$</w:t>
            </w:r>
            <w:r>
              <w:rPr>
                <w:u w:val="single"/>
              </w:rPr>
              <w:t>216</w:t>
            </w:r>
            <w:r w:rsidRPr="00AF5DB2">
              <w:rPr>
                <w:u w:val="single"/>
              </w:rPr>
              <w:t>,</w:t>
            </w:r>
            <w:r>
              <w:rPr>
                <w:u w:val="single"/>
              </w:rPr>
              <w:t>287</w:t>
            </w:r>
          </w:p>
        </w:tc>
        <w:tc>
          <w:tcPr>
            <w:tcW w:w="1500" w:type="dxa"/>
            <w:tcBorders>
              <w:left w:val="single" w:sz="12" w:space="0" w:color="auto"/>
            </w:tcBorders>
          </w:tcPr>
          <w:p w:rsidR="001C1ABD" w:rsidRPr="00AF5DB2" w:rsidRDefault="001C1ABD" w:rsidP="007F2947">
            <w:pPr>
              <w:spacing w:after="200" w:line="276" w:lineRule="auto"/>
              <w:jc w:val="center"/>
              <w:rPr>
                <w:u w:val="single"/>
              </w:rPr>
            </w:pPr>
            <w:r w:rsidRPr="00AF5DB2">
              <w:rPr>
                <w:u w:val="single"/>
              </w:rPr>
              <w:t>$</w:t>
            </w:r>
            <w:r>
              <w:rPr>
                <w:u w:val="single"/>
              </w:rPr>
              <w:t>242</w:t>
            </w:r>
            <w:r w:rsidRPr="00AF5DB2">
              <w:rPr>
                <w:u w:val="single"/>
              </w:rPr>
              <w:t>,</w:t>
            </w:r>
            <w:r>
              <w:rPr>
                <w:u w:val="single"/>
              </w:rPr>
              <w:t>491</w:t>
            </w:r>
          </w:p>
        </w:tc>
        <w:tc>
          <w:tcPr>
            <w:tcW w:w="1530" w:type="dxa"/>
            <w:tcBorders>
              <w:left w:val="single" w:sz="12" w:space="0" w:color="auto"/>
              <w:right w:val="single" w:sz="12" w:space="0" w:color="auto"/>
            </w:tcBorders>
          </w:tcPr>
          <w:p w:rsidR="001C1ABD" w:rsidRPr="00AF5DB2" w:rsidRDefault="001C1ABD" w:rsidP="009E4EF8">
            <w:pPr>
              <w:spacing w:after="200" w:line="276" w:lineRule="auto"/>
              <w:jc w:val="center"/>
              <w:rPr>
                <w:u w:val="single"/>
              </w:rPr>
            </w:pPr>
            <w:r w:rsidRPr="00AF5DB2">
              <w:rPr>
                <w:u w:val="single"/>
              </w:rPr>
              <w:t>$</w:t>
            </w:r>
            <w:r>
              <w:rPr>
                <w:u w:val="single"/>
              </w:rPr>
              <w:t>64</w:t>
            </w:r>
            <w:r w:rsidRPr="00AF5DB2">
              <w:rPr>
                <w:u w:val="single"/>
              </w:rPr>
              <w:t>,</w:t>
            </w:r>
            <w:r>
              <w:rPr>
                <w:u w:val="single"/>
              </w:rPr>
              <w:t>714</w:t>
            </w:r>
          </w:p>
        </w:tc>
        <w:tc>
          <w:tcPr>
            <w:tcW w:w="1500" w:type="dxa"/>
            <w:tcBorders>
              <w:left w:val="single" w:sz="12" w:space="0" w:color="auto"/>
            </w:tcBorders>
          </w:tcPr>
          <w:p w:rsidR="001C1ABD" w:rsidRPr="00AF5DB2" w:rsidRDefault="001C1ABD" w:rsidP="007F2947">
            <w:pPr>
              <w:spacing w:after="200" w:line="276" w:lineRule="auto"/>
              <w:jc w:val="center"/>
              <w:rPr>
                <w:u w:val="single"/>
              </w:rPr>
            </w:pPr>
            <w:r w:rsidRPr="00AF5DB2">
              <w:rPr>
                <w:u w:val="single"/>
              </w:rPr>
              <w:t>$</w:t>
            </w:r>
            <w:r>
              <w:rPr>
                <w:u w:val="single"/>
              </w:rPr>
              <w:t>70</w:t>
            </w:r>
            <w:r w:rsidRPr="00AF5DB2">
              <w:rPr>
                <w:u w:val="single"/>
              </w:rPr>
              <w:t>,</w:t>
            </w:r>
            <w:r>
              <w:rPr>
                <w:u w:val="single"/>
              </w:rPr>
              <w:t>825</w:t>
            </w:r>
          </w:p>
        </w:tc>
      </w:tr>
      <w:tr w:rsidR="001C1ABD" w:rsidTr="001C1ABD">
        <w:tc>
          <w:tcPr>
            <w:tcW w:w="1458" w:type="dxa"/>
            <w:tcBorders>
              <w:right w:val="single" w:sz="12" w:space="0" w:color="auto"/>
            </w:tcBorders>
          </w:tcPr>
          <w:p w:rsidR="001C1ABD" w:rsidRDefault="001C1ABD" w:rsidP="007F2947">
            <w:pPr>
              <w:spacing w:after="200" w:line="276" w:lineRule="auto"/>
              <w:jc w:val="center"/>
            </w:pPr>
            <w:r>
              <w:t>[1] – [2] = [3] Difference</w:t>
            </w:r>
          </w:p>
        </w:tc>
        <w:tc>
          <w:tcPr>
            <w:tcW w:w="1530" w:type="dxa"/>
            <w:tcBorders>
              <w:left w:val="single" w:sz="12" w:space="0" w:color="auto"/>
            </w:tcBorders>
          </w:tcPr>
          <w:p w:rsidR="001C1ABD" w:rsidRPr="00AF5DB2" w:rsidRDefault="001C1ABD" w:rsidP="007F2947">
            <w:pPr>
              <w:spacing w:after="200" w:line="276" w:lineRule="auto"/>
              <w:jc w:val="center"/>
            </w:pPr>
            <w:r w:rsidRPr="00AF5DB2">
              <w:t>$</w:t>
            </w:r>
            <w:r>
              <w:t>17</w:t>
            </w:r>
            <w:r w:rsidRPr="00AF5DB2">
              <w:t>,</w:t>
            </w:r>
            <w:r>
              <w:t>899</w:t>
            </w:r>
          </w:p>
        </w:tc>
        <w:tc>
          <w:tcPr>
            <w:tcW w:w="1500" w:type="dxa"/>
            <w:tcBorders>
              <w:left w:val="single" w:sz="12" w:space="0" w:color="auto"/>
            </w:tcBorders>
          </w:tcPr>
          <w:p w:rsidR="001C1ABD" w:rsidRPr="00AF5DB2" w:rsidRDefault="001C1ABD" w:rsidP="007F2947">
            <w:pPr>
              <w:spacing w:after="200" w:line="276" w:lineRule="auto"/>
              <w:jc w:val="center"/>
            </w:pPr>
            <w:r w:rsidRPr="00AF5DB2">
              <w:t>$</w:t>
            </w:r>
            <w:r>
              <w:t>16,852</w:t>
            </w:r>
          </w:p>
        </w:tc>
        <w:tc>
          <w:tcPr>
            <w:tcW w:w="1530" w:type="dxa"/>
            <w:tcBorders>
              <w:left w:val="single" w:sz="12" w:space="0" w:color="auto"/>
              <w:right w:val="single" w:sz="12" w:space="0" w:color="auto"/>
            </w:tcBorders>
          </w:tcPr>
          <w:p w:rsidR="001C1ABD" w:rsidRPr="00AF5DB2" w:rsidRDefault="001C1ABD" w:rsidP="009E4EF8">
            <w:pPr>
              <w:spacing w:after="200" w:line="276" w:lineRule="auto"/>
              <w:jc w:val="center"/>
            </w:pPr>
            <w:r w:rsidRPr="00AF5DB2">
              <w:t>$</w:t>
            </w:r>
            <w:r>
              <w:t>964</w:t>
            </w:r>
          </w:p>
        </w:tc>
        <w:tc>
          <w:tcPr>
            <w:tcW w:w="1500" w:type="dxa"/>
            <w:tcBorders>
              <w:left w:val="single" w:sz="12" w:space="0" w:color="auto"/>
            </w:tcBorders>
          </w:tcPr>
          <w:p w:rsidR="001C1ABD" w:rsidRPr="00B452E3" w:rsidRDefault="001C1ABD" w:rsidP="007F2947">
            <w:pPr>
              <w:spacing w:after="200" w:line="276" w:lineRule="auto"/>
              <w:jc w:val="center"/>
            </w:pPr>
            <w:r w:rsidRPr="00B452E3">
              <w:t>$2</w:t>
            </w:r>
            <w:r>
              <w:t>51</w:t>
            </w:r>
          </w:p>
        </w:tc>
      </w:tr>
      <w:tr w:rsidR="001C1ABD" w:rsidTr="001C1ABD">
        <w:tc>
          <w:tcPr>
            <w:tcW w:w="1458" w:type="dxa"/>
            <w:tcBorders>
              <w:right w:val="single" w:sz="12" w:space="0" w:color="auto"/>
            </w:tcBorders>
          </w:tcPr>
          <w:p w:rsidR="001C1ABD" w:rsidRDefault="001C1ABD" w:rsidP="0025111E">
            <w:pPr>
              <w:spacing w:after="200" w:line="276" w:lineRule="auto"/>
              <w:jc w:val="center"/>
            </w:pPr>
            <w:r>
              <w:t xml:space="preserve">[3] / [2] Percentage </w:t>
            </w:r>
            <w:r w:rsidR="0025111E">
              <w:t>i</w:t>
            </w:r>
            <w:r>
              <w:t>ncrease</w:t>
            </w:r>
          </w:p>
        </w:tc>
        <w:tc>
          <w:tcPr>
            <w:tcW w:w="1530" w:type="dxa"/>
            <w:tcBorders>
              <w:left w:val="single" w:sz="12" w:space="0" w:color="auto"/>
            </w:tcBorders>
          </w:tcPr>
          <w:p w:rsidR="001C1ABD" w:rsidRDefault="001C1ABD" w:rsidP="007F2947">
            <w:pPr>
              <w:spacing w:after="200" w:line="276" w:lineRule="auto"/>
              <w:jc w:val="center"/>
            </w:pPr>
            <w:r>
              <w:t>8.3%</w:t>
            </w:r>
          </w:p>
        </w:tc>
        <w:tc>
          <w:tcPr>
            <w:tcW w:w="1500" w:type="dxa"/>
            <w:tcBorders>
              <w:left w:val="single" w:sz="12" w:space="0" w:color="auto"/>
            </w:tcBorders>
          </w:tcPr>
          <w:p w:rsidR="001C1ABD" w:rsidRDefault="001C1ABD" w:rsidP="007F2947">
            <w:pPr>
              <w:spacing w:after="200" w:line="276" w:lineRule="auto"/>
              <w:jc w:val="center"/>
            </w:pPr>
            <w:r>
              <w:t>6.9%</w:t>
            </w:r>
          </w:p>
        </w:tc>
        <w:tc>
          <w:tcPr>
            <w:tcW w:w="1530" w:type="dxa"/>
            <w:tcBorders>
              <w:left w:val="single" w:sz="12" w:space="0" w:color="auto"/>
              <w:right w:val="single" w:sz="12" w:space="0" w:color="auto"/>
            </w:tcBorders>
          </w:tcPr>
          <w:p w:rsidR="001C1ABD" w:rsidRDefault="001C1ABD" w:rsidP="007F2947">
            <w:pPr>
              <w:spacing w:after="200" w:line="276" w:lineRule="auto"/>
              <w:jc w:val="center"/>
            </w:pPr>
            <w:r>
              <w:t>1.5%</w:t>
            </w:r>
          </w:p>
        </w:tc>
        <w:tc>
          <w:tcPr>
            <w:tcW w:w="1500" w:type="dxa"/>
            <w:tcBorders>
              <w:left w:val="single" w:sz="12" w:space="0" w:color="auto"/>
            </w:tcBorders>
          </w:tcPr>
          <w:p w:rsidR="001C1ABD" w:rsidRPr="00B452E3" w:rsidRDefault="001C1ABD" w:rsidP="007F2947">
            <w:pPr>
              <w:spacing w:after="200" w:line="276" w:lineRule="auto"/>
              <w:jc w:val="center"/>
            </w:pPr>
            <w:r w:rsidRPr="00B452E3">
              <w:t>0.</w:t>
            </w:r>
            <w:r>
              <w:t>4</w:t>
            </w:r>
            <w:r w:rsidRPr="00B452E3">
              <w:t>%</w:t>
            </w:r>
          </w:p>
        </w:tc>
      </w:tr>
    </w:tbl>
    <w:p w:rsidR="008041D2" w:rsidRDefault="008041D2" w:rsidP="003F02CF">
      <w:pPr>
        <w:spacing w:after="200" w:line="276" w:lineRule="auto"/>
      </w:pPr>
    </w:p>
    <w:p w:rsidR="001C1ABD" w:rsidRDefault="0035020E" w:rsidP="003F02CF">
      <w:pPr>
        <w:spacing w:after="200" w:line="276" w:lineRule="auto"/>
      </w:pPr>
      <w:r>
        <w:t xml:space="preserve"> </w:t>
      </w:r>
    </w:p>
    <w:p w:rsidR="001C1ABD" w:rsidRDefault="001C1ABD" w:rsidP="003F02CF">
      <w:pPr>
        <w:spacing w:after="200" w:line="276" w:lineRule="auto"/>
      </w:pPr>
    </w:p>
    <w:p w:rsidR="001C1ABD" w:rsidRDefault="001C1ABD" w:rsidP="003F02CF">
      <w:pPr>
        <w:spacing w:after="200" w:line="276" w:lineRule="auto"/>
      </w:pPr>
    </w:p>
    <w:p w:rsidR="001C1ABD" w:rsidRDefault="001C1ABD" w:rsidP="003F02CF">
      <w:pPr>
        <w:spacing w:after="200" w:line="276" w:lineRule="auto"/>
      </w:pPr>
    </w:p>
    <w:p w:rsidR="001C1ABD" w:rsidRDefault="001C1ABD" w:rsidP="003F02CF">
      <w:pPr>
        <w:spacing w:after="200" w:line="276" w:lineRule="auto"/>
      </w:pPr>
    </w:p>
    <w:p w:rsidR="001C1ABD" w:rsidRDefault="001C1ABD" w:rsidP="003F02CF">
      <w:pPr>
        <w:spacing w:after="200" w:line="276" w:lineRule="auto"/>
      </w:pPr>
    </w:p>
    <w:p w:rsidR="001C1ABD" w:rsidRDefault="001C1ABD" w:rsidP="003F02CF">
      <w:pPr>
        <w:spacing w:after="200" w:line="276" w:lineRule="auto"/>
      </w:pPr>
    </w:p>
    <w:p w:rsidR="001C1ABD" w:rsidRDefault="001C1ABD" w:rsidP="003F02CF">
      <w:pPr>
        <w:spacing w:after="200" w:line="276" w:lineRule="auto"/>
      </w:pPr>
    </w:p>
    <w:p w:rsidR="001C1ABD" w:rsidRDefault="001C1ABD" w:rsidP="003F02CF">
      <w:pPr>
        <w:spacing w:after="200" w:line="276" w:lineRule="auto"/>
      </w:pPr>
    </w:p>
    <w:p w:rsidR="001C1ABD" w:rsidRDefault="001C1ABD" w:rsidP="003F02CF">
      <w:pPr>
        <w:spacing w:after="200" w:line="276" w:lineRule="auto"/>
      </w:pPr>
    </w:p>
    <w:p w:rsidR="001C1ABD" w:rsidRDefault="001C1ABD" w:rsidP="003F02CF">
      <w:pPr>
        <w:spacing w:after="200" w:line="276" w:lineRule="auto"/>
      </w:pPr>
    </w:p>
    <w:p w:rsidR="001C1ABD" w:rsidRDefault="001C1ABD" w:rsidP="003F02CF">
      <w:pPr>
        <w:spacing w:after="200" w:line="276" w:lineRule="auto"/>
      </w:pPr>
    </w:p>
    <w:p w:rsidR="001C1ABD" w:rsidRDefault="001C1ABD" w:rsidP="003F02CF">
      <w:pPr>
        <w:spacing w:after="200" w:line="276" w:lineRule="auto"/>
      </w:pPr>
    </w:p>
    <w:p w:rsidR="001C1ABD" w:rsidRDefault="001C1ABD" w:rsidP="00951A49">
      <w:pPr>
        <w:spacing w:line="276" w:lineRule="auto"/>
      </w:pPr>
    </w:p>
    <w:p w:rsidR="00951A49" w:rsidRDefault="00951A49" w:rsidP="00951A49">
      <w:pPr>
        <w:spacing w:line="276" w:lineRule="auto"/>
      </w:pPr>
    </w:p>
    <w:p w:rsidR="003F02CF" w:rsidRPr="009D724A" w:rsidRDefault="005D73A2" w:rsidP="00951A49">
      <w:pPr>
        <w:spacing w:after="200" w:line="480" w:lineRule="auto"/>
        <w:ind w:firstLine="720"/>
      </w:pPr>
      <w:r>
        <w:t>In Table 2, t</w:t>
      </w:r>
      <w:r w:rsidR="00592390">
        <w:t xml:space="preserve">he percentage by which Stocks In – Bonds Out wins </w:t>
      </w:r>
      <w:r w:rsidR="00321AC1">
        <w:t xml:space="preserve">when n is only 10 years </w:t>
      </w:r>
      <w:r w:rsidR="00592390">
        <w:t>is much slimmer</w:t>
      </w:r>
      <w:r w:rsidR="00321AC1">
        <w:t xml:space="preserve"> than in Table 1 when n = 20 years</w:t>
      </w:r>
      <w:r w:rsidR="00592390">
        <w:t xml:space="preserve">. </w:t>
      </w:r>
      <w:r w:rsidR="003A7148">
        <w:t xml:space="preserve">This </w:t>
      </w:r>
      <w:r w:rsidR="00592390">
        <w:t xml:space="preserve">decline </w:t>
      </w:r>
      <w:r w:rsidR="003A7148">
        <w:t>occurs primarily because relatively high-return stocks (i.e., R = 8%) inside retirement accounts for only 10 years do not gain nearly as much benefit from tax</w:t>
      </w:r>
      <w:r w:rsidR="00F45CFA">
        <w:t>-</w:t>
      </w:r>
      <w:r w:rsidR="003A7148">
        <w:t xml:space="preserve">deferred growth as the same stocks inside retirement accounts for </w:t>
      </w:r>
      <w:r w:rsidR="00592390">
        <w:t>a longer period of time. Consistent with this, if n increases to 30 years</w:t>
      </w:r>
      <w:r w:rsidR="00480AAE">
        <w:t>,</w:t>
      </w:r>
      <w:r w:rsidR="00592390">
        <w:t xml:space="preserve"> then the </w:t>
      </w:r>
      <w:r w:rsidR="00592390">
        <w:lastRenderedPageBreak/>
        <w:t xml:space="preserve">percentage by which Stocks In – Bonds Out wins is a lot larger than it was </w:t>
      </w:r>
      <w:r w:rsidR="00321AC1">
        <w:t xml:space="preserve">in Table 1 </w:t>
      </w:r>
      <w:r w:rsidR="00592390">
        <w:t>when n was only 20 years.</w:t>
      </w:r>
    </w:p>
    <w:p w:rsidR="003F02CF" w:rsidRDefault="003F02CF" w:rsidP="00951A49">
      <w:pPr>
        <w:spacing w:line="480" w:lineRule="auto"/>
        <w:rPr>
          <w:i/>
        </w:rPr>
      </w:pPr>
    </w:p>
    <w:p w:rsidR="001F1603" w:rsidRPr="00373B1F" w:rsidRDefault="008F3D89" w:rsidP="0027184B">
      <w:pPr>
        <w:spacing w:after="200" w:line="480" w:lineRule="auto"/>
        <w:rPr>
          <w:b/>
        </w:rPr>
      </w:pPr>
      <w:r w:rsidRPr="00373B1F">
        <w:rPr>
          <w:b/>
        </w:rPr>
        <w:t>Further</w:t>
      </w:r>
      <w:r w:rsidR="00A6521E" w:rsidRPr="00373B1F">
        <w:rPr>
          <w:b/>
        </w:rPr>
        <w:t xml:space="preserve"> Analysis</w:t>
      </w:r>
      <w:r w:rsidR="00EB5884">
        <w:rPr>
          <w:b/>
        </w:rPr>
        <w:t xml:space="preserve">: </w:t>
      </w:r>
      <w:r w:rsidRPr="00373B1F">
        <w:rPr>
          <w:b/>
        </w:rPr>
        <w:t xml:space="preserve">Retirement Account </w:t>
      </w:r>
      <w:r w:rsidR="00951A49">
        <w:rPr>
          <w:b/>
        </w:rPr>
        <w:t>I</w:t>
      </w:r>
      <w:r w:rsidRPr="00373B1F">
        <w:rPr>
          <w:b/>
        </w:rPr>
        <w:t>s a Roth</w:t>
      </w:r>
    </w:p>
    <w:p w:rsidR="00951A49" w:rsidRDefault="00951A49" w:rsidP="0027184B">
      <w:pPr>
        <w:spacing w:line="480" w:lineRule="auto"/>
      </w:pPr>
    </w:p>
    <w:p w:rsidR="00A6521E" w:rsidRDefault="006E21F7" w:rsidP="00951A49">
      <w:pPr>
        <w:spacing w:line="480" w:lineRule="auto"/>
        <w:ind w:firstLine="720"/>
      </w:pPr>
      <w:r>
        <w:t xml:space="preserve">Some individuals find it more beneficial to contribute to a </w:t>
      </w:r>
      <w:r w:rsidR="00F0435B">
        <w:t>tax-exempt account (</w:t>
      </w:r>
      <w:r w:rsidR="00751664">
        <w:t>TEA)</w:t>
      </w:r>
      <w:r w:rsidR="000E32E2">
        <w:t xml:space="preserve"> </w:t>
      </w:r>
      <w:r w:rsidR="001823E4">
        <w:t>(</w:t>
      </w:r>
      <w:r w:rsidR="00F0435B">
        <w:t xml:space="preserve">e.g., Roth 401(k)) </w:t>
      </w:r>
      <w:r>
        <w:t xml:space="preserve">than a TDA. As proof, reviewing the formulas for TDA (model 4 in Figure 1) and TEA (model 5 in Figure 1), if </w:t>
      </w:r>
      <w:r w:rsidRPr="00B131A5">
        <w:t>t</w:t>
      </w:r>
      <w:r w:rsidRPr="00B131A5">
        <w:rPr>
          <w:vertAlign w:val="subscript"/>
        </w:rPr>
        <w:t>0</w:t>
      </w:r>
      <w:r w:rsidRPr="00B131A5">
        <w:t xml:space="preserve"> </w:t>
      </w:r>
      <w:r>
        <w:t xml:space="preserve">&lt; </w:t>
      </w:r>
      <w:proofErr w:type="gramStart"/>
      <w:r>
        <w:t>t</w:t>
      </w:r>
      <w:r>
        <w:rPr>
          <w:vertAlign w:val="subscript"/>
        </w:rPr>
        <w:t>n</w:t>
      </w:r>
      <w:proofErr w:type="gramEnd"/>
      <w:r>
        <w:t xml:space="preserve">, the after-tax future value is greater for a TEA than </w:t>
      </w:r>
      <w:r w:rsidR="00751664">
        <w:t xml:space="preserve">for </w:t>
      </w:r>
      <w:r>
        <w:t xml:space="preserve">a TDA. </w:t>
      </w:r>
      <w:r w:rsidR="008F3D89">
        <w:t>T</w:t>
      </w:r>
      <w:r w:rsidR="00A6521E">
        <w:t xml:space="preserve">he tax law </w:t>
      </w:r>
      <w:r w:rsidR="00321AC1">
        <w:t xml:space="preserve">effectively </w:t>
      </w:r>
      <w:r w:rsidR="00A6521E">
        <w:t>allows a higher after-tax amount to be put into a Roth retirement account</w:t>
      </w:r>
      <w:r w:rsidR="00305714">
        <w:t xml:space="preserve"> </w:t>
      </w:r>
      <w:r w:rsidR="00373B1F">
        <w:t xml:space="preserve">than </w:t>
      </w:r>
      <w:r w:rsidR="00F72DE3">
        <w:t>the corresponding TDA</w:t>
      </w:r>
      <w:r w:rsidR="00A6521E">
        <w:t>.</w:t>
      </w:r>
      <w:r w:rsidR="00751664">
        <w:t xml:space="preserve"> </w:t>
      </w:r>
      <w:r>
        <w:t>T</w:t>
      </w:r>
      <w:r w:rsidR="0033716C">
        <w:t>he former allows a maximum of AT$</w:t>
      </w:r>
      <w:r w:rsidR="00751664">
        <w:t>,</w:t>
      </w:r>
      <w:r w:rsidR="0033716C">
        <w:t xml:space="preserve"> whereas the latter allows a maximum of AT$</w:t>
      </w:r>
      <w:r w:rsidR="00F0435B">
        <w:t xml:space="preserve"> / </w:t>
      </w:r>
      <w:proofErr w:type="gramStart"/>
      <w:r w:rsidR="00F0435B" w:rsidRPr="00B131A5">
        <w:t>( 1</w:t>
      </w:r>
      <w:proofErr w:type="gramEnd"/>
      <w:r w:rsidR="00F0435B" w:rsidRPr="00B131A5">
        <w:t xml:space="preserve"> – t</w:t>
      </w:r>
      <w:r w:rsidR="00F0435B" w:rsidRPr="00B131A5">
        <w:rPr>
          <w:vertAlign w:val="subscript"/>
        </w:rPr>
        <w:t>0</w:t>
      </w:r>
      <w:r w:rsidR="00F0435B" w:rsidRPr="00B131A5">
        <w:t xml:space="preserve"> )</w:t>
      </w:r>
      <w:r w:rsidR="0033716C">
        <w:t xml:space="preserve">. Given the assumptions that $25,000 is the maximum allowed </w:t>
      </w:r>
      <w:r w:rsidR="00D40291">
        <w:t>to be contributed to</w:t>
      </w:r>
      <w:r w:rsidR="0033716C">
        <w:t xml:space="preserve"> the TDA or </w:t>
      </w:r>
      <w:r w:rsidR="00751664">
        <w:t xml:space="preserve">to the </w:t>
      </w:r>
      <w:r w:rsidR="0033716C">
        <w:t xml:space="preserve">TEA and that </w:t>
      </w:r>
      <w:r w:rsidR="0033716C" w:rsidRPr="00B131A5">
        <w:t>t</w:t>
      </w:r>
      <w:r w:rsidR="0033716C" w:rsidRPr="00B131A5">
        <w:rPr>
          <w:vertAlign w:val="subscript"/>
        </w:rPr>
        <w:t>0</w:t>
      </w:r>
      <w:r w:rsidR="0033716C" w:rsidRPr="00B131A5">
        <w:t xml:space="preserve"> </w:t>
      </w:r>
      <w:r w:rsidR="0033716C">
        <w:t xml:space="preserve">= 25%, $18,750 is the maximum AT$ allowed into the TDA (since $18,750 / </w:t>
      </w:r>
      <w:proofErr w:type="gramStart"/>
      <w:r w:rsidR="0033716C">
        <w:t>( 1</w:t>
      </w:r>
      <w:proofErr w:type="gramEnd"/>
      <w:r w:rsidR="0033716C">
        <w:t xml:space="preserve"> – .25</w:t>
      </w:r>
      <w:r w:rsidR="0033716C" w:rsidRPr="00B131A5">
        <w:t>)</w:t>
      </w:r>
      <w:r w:rsidR="00D40291">
        <w:t xml:space="preserve"> = $25,000) and $25,000 is the maximum AT$ allowed into the TEA.</w:t>
      </w:r>
      <w:r w:rsidR="0033716C">
        <w:t xml:space="preserve"> </w:t>
      </w:r>
      <w:r w:rsidR="00D40291">
        <w:t>S</w:t>
      </w:r>
      <w:r w:rsidR="00C24C80">
        <w:t>ince the Roth 401(k) receives after-tax dollars instead of pretax dollars, the $50,000 of pretax salary is taxed at 25%</w:t>
      </w:r>
      <w:r w:rsidR="00CE790B">
        <w:t>,</w:t>
      </w:r>
      <w:r w:rsidR="00C24C80">
        <w:t xml:space="preserve"> and then the $37,500 of after-tax dollars remaining is invested</w:t>
      </w:r>
      <w:r w:rsidR="00CE790B">
        <w:t>:</w:t>
      </w:r>
      <w:r w:rsidR="00C24C80">
        <w:t xml:space="preserve"> $25,000 into the tax-exempt account (TEA) which is the Roth 401(k) and $12,500 outside a qualified retirement account (i.e., out in a taxable account) this year. </w:t>
      </w:r>
      <w:r w:rsidR="00CE790B">
        <w:t>E</w:t>
      </w:r>
      <w:r w:rsidR="00A6521E">
        <w:t>ven with t</w:t>
      </w:r>
      <w:r w:rsidR="00A6521E">
        <w:rPr>
          <w:vertAlign w:val="subscript"/>
        </w:rPr>
        <w:t>0</w:t>
      </w:r>
      <w:r w:rsidR="00A6521E">
        <w:t xml:space="preserve"> = t</w:t>
      </w:r>
      <w:r w:rsidR="00A6521E">
        <w:rPr>
          <w:vertAlign w:val="subscript"/>
        </w:rPr>
        <w:t>n</w:t>
      </w:r>
      <w:r w:rsidR="00A6521E">
        <w:t xml:space="preserve">, </w:t>
      </w:r>
      <w:r w:rsidR="00373B1F">
        <w:t>an</w:t>
      </w:r>
      <w:r w:rsidR="00A6521E">
        <w:t xml:space="preserve"> individual could be even wealthier (i.e., have a higher total AT</w:t>
      </w:r>
      <w:r w:rsidR="00373B1F">
        <w:t>FV</w:t>
      </w:r>
      <w:r w:rsidR="00A6521E">
        <w:t xml:space="preserve">) </w:t>
      </w:r>
      <w:r w:rsidR="00CE790B">
        <w:t xml:space="preserve">if the individual invests </w:t>
      </w:r>
      <w:r w:rsidR="00A6521E">
        <w:t xml:space="preserve">$25,000 of after-tax salary into a Roth 401(k) and the remaining $12,500 of after-tax salary outside the retirement account than </w:t>
      </w:r>
      <w:r w:rsidR="00CE790B">
        <w:t>in the s</w:t>
      </w:r>
      <w:r w:rsidR="00F0435B">
        <w:t>cenarios</w:t>
      </w:r>
      <w:r w:rsidR="00CE790B">
        <w:t xml:space="preserve"> </w:t>
      </w:r>
      <w:r w:rsidR="00A6521E">
        <w:t xml:space="preserve">shown in </w:t>
      </w:r>
      <w:r w:rsidR="00321AC1">
        <w:t>Table 1</w:t>
      </w:r>
      <w:r w:rsidR="00A6521E">
        <w:t xml:space="preserve">. For example, reviewing </w:t>
      </w:r>
      <w:r w:rsidR="00B23CF2">
        <w:t>Stock</w:t>
      </w:r>
      <w:r w:rsidR="00DB4D72">
        <w:t>s</w:t>
      </w:r>
      <w:r w:rsidR="00B23CF2">
        <w:t xml:space="preserve"> In – Bond</w:t>
      </w:r>
      <w:r w:rsidR="00DB4D72">
        <w:t>s</w:t>
      </w:r>
      <w:r w:rsidR="00B23CF2">
        <w:t xml:space="preserve"> Out </w:t>
      </w:r>
      <w:r w:rsidR="00321AC1">
        <w:t xml:space="preserve">in Table 1 </w:t>
      </w:r>
      <w:r w:rsidR="00A6521E">
        <w:t xml:space="preserve">for </w:t>
      </w:r>
      <w:r w:rsidR="00373B1F">
        <w:t>s</w:t>
      </w:r>
      <w:r w:rsidR="004422B3">
        <w:t>cenario</w:t>
      </w:r>
      <w:r w:rsidR="00A6521E">
        <w:t xml:space="preserve"> </w:t>
      </w:r>
      <w:r w:rsidR="008F3D89">
        <w:t>1</w:t>
      </w:r>
      <w:r w:rsidR="00A6521E">
        <w:t>, the total after-tax future value is $</w:t>
      </w:r>
      <w:r w:rsidR="00B23CF2">
        <w:t>1</w:t>
      </w:r>
      <w:r w:rsidR="00BF14E5">
        <w:t>21</w:t>
      </w:r>
      <w:r w:rsidR="00A6521E">
        <w:t>,</w:t>
      </w:r>
      <w:r w:rsidR="00BF14E5">
        <w:t>258</w:t>
      </w:r>
      <w:r w:rsidR="00A6521E">
        <w:t xml:space="preserve">.  However, if $25,000 of after-tax salary is invested in the Roth 401(k), $18,750 of which is in holding the </w:t>
      </w:r>
      <w:r w:rsidR="008F3D89">
        <w:t>stocks</w:t>
      </w:r>
      <w:r w:rsidR="00A6521E">
        <w:t xml:space="preserve"> and $6,250 of which is invested in </w:t>
      </w:r>
      <w:r w:rsidR="008F3D89">
        <w:t>bonds</w:t>
      </w:r>
      <w:r w:rsidR="00A6521E">
        <w:t xml:space="preserve">, and the remaining </w:t>
      </w:r>
      <w:r w:rsidR="00A6521E">
        <w:lastRenderedPageBreak/>
        <w:t xml:space="preserve">$12,500 is invested in </w:t>
      </w:r>
      <w:r w:rsidR="008F3D89">
        <w:t xml:space="preserve">bonds </w:t>
      </w:r>
      <w:r w:rsidR="00A6521E">
        <w:t xml:space="preserve">held </w:t>
      </w:r>
      <w:r w:rsidR="00321AC1">
        <w:t>outside in taxable accounts</w:t>
      </w:r>
      <w:r w:rsidR="00A6521E">
        <w:t xml:space="preserve">, </w:t>
      </w:r>
      <w:r w:rsidR="00CE790B">
        <w:t xml:space="preserve">then </w:t>
      </w:r>
      <w:r w:rsidR="00A6521E">
        <w:t xml:space="preserve">the individual ends up with </w:t>
      </w:r>
      <w:r w:rsidR="008F3D89">
        <w:t>$</w:t>
      </w:r>
      <w:r w:rsidR="00B23CF2">
        <w:t>1</w:t>
      </w:r>
      <w:r w:rsidR="00BF14E5">
        <w:t>23</w:t>
      </w:r>
      <w:r w:rsidR="008F3D89">
        <w:t>,</w:t>
      </w:r>
      <w:r w:rsidR="00BF14E5">
        <w:t>664</w:t>
      </w:r>
      <w:r w:rsidR="00C24C80" w:rsidRPr="00C24C80">
        <w:t xml:space="preserve"> </w:t>
      </w:r>
      <w:r w:rsidR="00C24C80">
        <w:t>as shown in scenario 3 that follows</w:t>
      </w:r>
      <w:r w:rsidR="008F3D89">
        <w:t>, $</w:t>
      </w:r>
      <w:r w:rsidR="00BF14E5">
        <w:t xml:space="preserve">2,406 </w:t>
      </w:r>
      <w:r w:rsidR="00A6521E">
        <w:t>more than</w:t>
      </w:r>
      <w:r w:rsidR="005E25DD">
        <w:t xml:space="preserve"> in </w:t>
      </w:r>
      <w:r w:rsidR="00373B1F">
        <w:t>s</w:t>
      </w:r>
      <w:r w:rsidR="004422B3">
        <w:t>cenario</w:t>
      </w:r>
      <w:r w:rsidR="005E25DD">
        <w:t xml:space="preserve"> 1</w:t>
      </w:r>
      <w:r w:rsidR="0033716C">
        <w:t>. Of course, a similar result occur</w:t>
      </w:r>
      <w:r w:rsidR="00751664">
        <w:t>s</w:t>
      </w:r>
      <w:r w:rsidR="0033716C">
        <w:t xml:space="preserve"> for Bonds In – Stocks Out as the individual ends up with $120,344</w:t>
      </w:r>
      <w:r w:rsidR="00751664">
        <w:t>,</w:t>
      </w:r>
      <w:r w:rsidR="0033716C">
        <w:t xml:space="preserve"> as shown in scenario 3 that follows, $4,067 more than in scenario 1</w:t>
      </w:r>
      <w:r w:rsidR="00187B87">
        <w:t>:</w:t>
      </w:r>
      <w:r w:rsidR="00DB4D72">
        <w:rPr>
          <w:rStyle w:val="EndnoteReference"/>
        </w:rPr>
        <w:endnoteReference w:id="16"/>
      </w:r>
    </w:p>
    <w:p w:rsidR="00E43CCB" w:rsidRDefault="00E43CCB" w:rsidP="00A6521E">
      <w:pPr>
        <w:spacing w:line="276" w:lineRule="auto"/>
        <w:sectPr w:rsidR="00E43CCB" w:rsidSect="00F90794">
          <w:endnotePr>
            <w:numFmt w:val="decimal"/>
          </w:endnotePr>
          <w:pgSz w:w="12240" w:h="15840"/>
          <w:pgMar w:top="1440" w:right="1440" w:bottom="1440" w:left="1440" w:header="720" w:footer="720" w:gutter="0"/>
          <w:cols w:space="720"/>
          <w:docGrid w:linePitch="360"/>
        </w:sectPr>
      </w:pPr>
    </w:p>
    <w:p w:rsidR="00D85E86" w:rsidRDefault="00D85E86">
      <w:pPr>
        <w:spacing w:after="200" w:line="276" w:lineRule="auto"/>
        <w:rPr>
          <w:b/>
        </w:rPr>
      </w:pPr>
    </w:p>
    <w:p w:rsidR="009E5856" w:rsidRDefault="004422B3" w:rsidP="009E5856">
      <w:pPr>
        <w:spacing w:line="276" w:lineRule="auto"/>
        <w:jc w:val="center"/>
        <w:rPr>
          <w:b/>
        </w:rPr>
      </w:pPr>
      <w:r>
        <w:rPr>
          <w:b/>
        </w:rPr>
        <w:t>Scenario</w:t>
      </w:r>
      <w:r w:rsidR="009E5856">
        <w:rPr>
          <w:b/>
        </w:rPr>
        <w:t xml:space="preserve"> </w:t>
      </w:r>
      <w:r w:rsidR="00FA7DDB">
        <w:rPr>
          <w:b/>
        </w:rPr>
        <w:t>3</w:t>
      </w:r>
      <w:r w:rsidR="009E5856">
        <w:rPr>
          <w:b/>
        </w:rPr>
        <w:t xml:space="preserve">: </w:t>
      </w:r>
      <w:r w:rsidR="009E5856" w:rsidRPr="009E5856">
        <w:rPr>
          <w:b/>
        </w:rPr>
        <w:t>Roth</w:t>
      </w:r>
      <w:r w:rsidR="009E5856">
        <w:rPr>
          <w:b/>
        </w:rPr>
        <w:t xml:space="preserve"> </w:t>
      </w:r>
      <w:r w:rsidR="00CE790B">
        <w:rPr>
          <w:b/>
        </w:rPr>
        <w:t>R</w:t>
      </w:r>
      <w:r w:rsidR="009E5856">
        <w:rPr>
          <w:b/>
        </w:rPr>
        <w:t xml:space="preserve">etirement </w:t>
      </w:r>
      <w:r w:rsidR="00CE790B">
        <w:rPr>
          <w:b/>
        </w:rPr>
        <w:t>A</w:t>
      </w:r>
      <w:r w:rsidR="009E5856">
        <w:rPr>
          <w:b/>
        </w:rPr>
        <w:t xml:space="preserve">ccount; </w:t>
      </w:r>
    </w:p>
    <w:p w:rsidR="009E5856" w:rsidRPr="005E1209" w:rsidRDefault="009E5856" w:rsidP="009E5856">
      <w:pPr>
        <w:spacing w:line="276" w:lineRule="auto"/>
        <w:jc w:val="center"/>
      </w:pPr>
      <w:r w:rsidRPr="009E5856">
        <w:rPr>
          <w:b/>
        </w:rPr>
        <w:t>n = 20</w:t>
      </w:r>
      <w:r>
        <w:rPr>
          <w:b/>
        </w:rPr>
        <w:t>; R</w:t>
      </w:r>
      <w:r w:rsidR="00767756">
        <w:rPr>
          <w:b/>
          <w:vertAlign w:val="subscript"/>
        </w:rPr>
        <w:t>S</w:t>
      </w:r>
      <w:r>
        <w:rPr>
          <w:b/>
        </w:rPr>
        <w:t xml:space="preserve"> = </w:t>
      </w:r>
      <w:r w:rsidR="00647671">
        <w:rPr>
          <w:b/>
        </w:rPr>
        <w:t>8</w:t>
      </w:r>
      <w:r>
        <w:rPr>
          <w:b/>
        </w:rPr>
        <w:t>%; R</w:t>
      </w:r>
      <w:r w:rsidR="00767756">
        <w:rPr>
          <w:b/>
          <w:vertAlign w:val="subscript"/>
        </w:rPr>
        <w:t>B</w:t>
      </w:r>
      <w:r>
        <w:rPr>
          <w:b/>
        </w:rPr>
        <w:t xml:space="preserve"> = </w:t>
      </w:r>
      <w:r w:rsidR="00647671">
        <w:rPr>
          <w:b/>
        </w:rPr>
        <w:t>4</w:t>
      </w:r>
      <w:r>
        <w:rPr>
          <w:b/>
        </w:rPr>
        <w:t>%; t = 25%; g = 15%</w:t>
      </w:r>
    </w:p>
    <w:p w:rsidR="009E5856" w:rsidRDefault="009E5856" w:rsidP="009E5856">
      <w:pPr>
        <w:spacing w:line="276" w:lineRule="auto"/>
      </w:pPr>
    </w:p>
    <w:p w:rsidR="009E5856" w:rsidRPr="00E51A17" w:rsidRDefault="000B79CE" w:rsidP="009E5856">
      <w:pPr>
        <w:spacing w:line="276" w:lineRule="auto"/>
        <w:rPr>
          <w:b/>
        </w:rPr>
      </w:pPr>
      <w:r>
        <w:rPr>
          <w:b/>
        </w:rPr>
        <w:t>Stock</w:t>
      </w:r>
      <w:r w:rsidR="00932CD9">
        <w:rPr>
          <w:b/>
        </w:rPr>
        <w:t>s</w:t>
      </w:r>
      <w:r>
        <w:rPr>
          <w:b/>
        </w:rPr>
        <w:t xml:space="preserve"> </w:t>
      </w:r>
      <w:proofErr w:type="gramStart"/>
      <w:r>
        <w:rPr>
          <w:b/>
        </w:rPr>
        <w:t>In</w:t>
      </w:r>
      <w:proofErr w:type="gramEnd"/>
      <w:r>
        <w:rPr>
          <w:b/>
        </w:rPr>
        <w:t xml:space="preserve"> – Bond</w:t>
      </w:r>
      <w:r w:rsidR="00932CD9">
        <w:rPr>
          <w:b/>
        </w:rPr>
        <w:t>s</w:t>
      </w:r>
      <w:r>
        <w:rPr>
          <w:b/>
        </w:rPr>
        <w:t xml:space="preserve"> Out</w:t>
      </w:r>
      <w:r w:rsidRPr="00E51A17">
        <w:rPr>
          <w:b/>
        </w:rPr>
        <w:t>:</w:t>
      </w:r>
      <w:r>
        <w:rPr>
          <w:b/>
        </w:rPr>
        <w:t xml:space="preserve"> </w:t>
      </w:r>
      <w:r w:rsidR="009E5856">
        <w:rPr>
          <w:b/>
        </w:rPr>
        <w:t xml:space="preserve">Using a Roth 401(k) to hold </w:t>
      </w:r>
      <w:r>
        <w:rPr>
          <w:b/>
        </w:rPr>
        <w:t>AT$ = $25,000</w:t>
      </w:r>
      <w:r w:rsidR="009E5856">
        <w:rPr>
          <w:b/>
        </w:rPr>
        <w:t>:</w:t>
      </w:r>
    </w:p>
    <w:tbl>
      <w:tblPr>
        <w:tblW w:w="12330" w:type="dxa"/>
        <w:tblInd w:w="840" w:type="dxa"/>
        <w:tblLayout w:type="fixed"/>
        <w:tblCellMar>
          <w:left w:w="120" w:type="dxa"/>
          <w:right w:w="120" w:type="dxa"/>
        </w:tblCellMar>
        <w:tblLook w:val="04A0" w:firstRow="1" w:lastRow="0" w:firstColumn="1" w:lastColumn="0" w:noHBand="0" w:noVBand="1"/>
      </w:tblPr>
      <w:tblGrid>
        <w:gridCol w:w="4140"/>
        <w:gridCol w:w="6750"/>
        <w:gridCol w:w="1440"/>
      </w:tblGrid>
      <w:tr w:rsidR="009E5856" w:rsidRPr="00E51A17" w:rsidTr="00E43CCB">
        <w:trPr>
          <w:tblHeader/>
        </w:trPr>
        <w:tc>
          <w:tcPr>
            <w:tcW w:w="4140" w:type="dxa"/>
          </w:tcPr>
          <w:p w:rsidR="009E5856" w:rsidRPr="00E51A17" w:rsidRDefault="009E5856" w:rsidP="004E1B92">
            <w:pPr>
              <w:spacing w:line="276" w:lineRule="auto"/>
              <w:rPr>
                <w:b/>
              </w:rPr>
            </w:pPr>
          </w:p>
          <w:p w:rsidR="009E5856" w:rsidRPr="00E51A17" w:rsidRDefault="009E5856" w:rsidP="00AE2AB2">
            <w:pPr>
              <w:spacing w:line="276" w:lineRule="auto"/>
              <w:rPr>
                <w:b/>
              </w:rPr>
            </w:pPr>
            <w:r w:rsidRPr="00E51A17">
              <w:rPr>
                <w:b/>
              </w:rPr>
              <w:t>Stock</w:t>
            </w:r>
            <w:r w:rsidR="00932CD9">
              <w:rPr>
                <w:b/>
              </w:rPr>
              <w:t>s</w:t>
            </w:r>
            <w:r w:rsidRPr="00E51A17">
              <w:rPr>
                <w:b/>
              </w:rPr>
              <w:t xml:space="preserve"> in </w:t>
            </w:r>
            <w:r>
              <w:rPr>
                <w:b/>
              </w:rPr>
              <w:t>Roth</w:t>
            </w:r>
            <w:r w:rsidRPr="00E51A17">
              <w:rPr>
                <w:b/>
              </w:rPr>
              <w:t xml:space="preserve"> </w:t>
            </w:r>
            <w:r>
              <w:rPr>
                <w:b/>
              </w:rPr>
              <w:t>401(k) (</w:t>
            </w:r>
            <w:r w:rsidR="00AE2AB2">
              <w:rPr>
                <w:b/>
              </w:rPr>
              <w:t>m</w:t>
            </w:r>
            <w:r w:rsidRPr="00E51A17">
              <w:rPr>
                <w:b/>
              </w:rPr>
              <w:t xml:space="preserve">odel </w:t>
            </w:r>
            <w:r>
              <w:rPr>
                <w:b/>
              </w:rPr>
              <w:t>5</w:t>
            </w:r>
            <w:r w:rsidRPr="00E51A17">
              <w:rPr>
                <w:b/>
              </w:rPr>
              <w:t>)</w:t>
            </w:r>
          </w:p>
        </w:tc>
        <w:tc>
          <w:tcPr>
            <w:tcW w:w="6750" w:type="dxa"/>
          </w:tcPr>
          <w:p w:rsidR="009E5856" w:rsidRPr="00E51A17" w:rsidRDefault="009E5856" w:rsidP="004E1B92">
            <w:pPr>
              <w:spacing w:line="276" w:lineRule="auto"/>
              <w:rPr>
                <w:b/>
              </w:rPr>
            </w:pPr>
          </w:p>
          <w:p w:rsidR="009E5856" w:rsidRPr="00E51A17" w:rsidRDefault="009E5856" w:rsidP="00647671">
            <w:pPr>
              <w:spacing w:line="276" w:lineRule="auto"/>
              <w:rPr>
                <w:b/>
              </w:rPr>
            </w:pPr>
            <w:r w:rsidRPr="00E51A17">
              <w:rPr>
                <w:b/>
              </w:rPr>
              <w:t>$</w:t>
            </w:r>
            <w:r>
              <w:rPr>
                <w:b/>
              </w:rPr>
              <w:t>18</w:t>
            </w:r>
            <w:r w:rsidRPr="00E51A17">
              <w:rPr>
                <w:b/>
              </w:rPr>
              <w:t>,</w:t>
            </w:r>
            <w:r>
              <w:rPr>
                <w:b/>
              </w:rPr>
              <w:t>750</w:t>
            </w:r>
            <w:r w:rsidRPr="00E51A17">
              <w:rPr>
                <w:b/>
              </w:rPr>
              <w:t>(1.</w:t>
            </w:r>
            <w:r w:rsidR="00647671">
              <w:rPr>
                <w:b/>
              </w:rPr>
              <w:t>08</w:t>
            </w:r>
            <w:r w:rsidRPr="00E51A17">
              <w:rPr>
                <w:b/>
              </w:rPr>
              <w:t>)</w:t>
            </w:r>
            <w:r>
              <w:rPr>
                <w:b/>
                <w:vertAlign w:val="superscript"/>
              </w:rPr>
              <w:t>2</w:t>
            </w:r>
            <w:r w:rsidRPr="00E51A17">
              <w:rPr>
                <w:b/>
                <w:vertAlign w:val="superscript"/>
              </w:rPr>
              <w:t>0</w:t>
            </w:r>
          </w:p>
        </w:tc>
        <w:tc>
          <w:tcPr>
            <w:tcW w:w="1440" w:type="dxa"/>
          </w:tcPr>
          <w:p w:rsidR="009E5856" w:rsidRPr="00E51A17" w:rsidRDefault="009E5856" w:rsidP="00A03E94">
            <w:pPr>
              <w:spacing w:line="276" w:lineRule="auto"/>
              <w:rPr>
                <w:b/>
              </w:rPr>
            </w:pPr>
          </w:p>
          <w:p w:rsidR="009E5856" w:rsidRPr="00E51A17" w:rsidRDefault="00A03E94" w:rsidP="00A03E94">
            <w:pPr>
              <w:spacing w:line="276" w:lineRule="auto"/>
              <w:rPr>
                <w:b/>
              </w:rPr>
            </w:pPr>
            <w:r>
              <w:rPr>
                <w:b/>
              </w:rPr>
              <w:t xml:space="preserve"> </w:t>
            </w:r>
            <w:r w:rsidR="009E5856" w:rsidRPr="00E51A17">
              <w:rPr>
                <w:b/>
              </w:rPr>
              <w:t>$</w:t>
            </w:r>
            <w:r w:rsidR="00647671">
              <w:rPr>
                <w:b/>
              </w:rPr>
              <w:t>87</w:t>
            </w:r>
            <w:r w:rsidR="009E5856" w:rsidRPr="00E51A17">
              <w:rPr>
                <w:b/>
              </w:rPr>
              <w:t>,</w:t>
            </w:r>
            <w:r w:rsidR="00647671">
              <w:rPr>
                <w:b/>
              </w:rPr>
              <w:t>393</w:t>
            </w:r>
          </w:p>
        </w:tc>
      </w:tr>
      <w:tr w:rsidR="009E5856" w:rsidRPr="00E51A17" w:rsidTr="00E43CCB">
        <w:trPr>
          <w:tblHeader/>
        </w:trPr>
        <w:tc>
          <w:tcPr>
            <w:tcW w:w="4140" w:type="dxa"/>
          </w:tcPr>
          <w:p w:rsidR="009E5856" w:rsidRPr="00E51A17" w:rsidRDefault="009E5856" w:rsidP="004E1B92">
            <w:pPr>
              <w:spacing w:line="276" w:lineRule="auto"/>
              <w:rPr>
                <w:b/>
              </w:rPr>
            </w:pPr>
          </w:p>
          <w:p w:rsidR="009E5856" w:rsidRPr="00E51A17" w:rsidRDefault="009E5856" w:rsidP="00AE2AB2">
            <w:pPr>
              <w:spacing w:line="276" w:lineRule="auto"/>
              <w:rPr>
                <w:b/>
              </w:rPr>
            </w:pPr>
            <w:r w:rsidRPr="00E51A17">
              <w:rPr>
                <w:b/>
              </w:rPr>
              <w:t>Bond</w:t>
            </w:r>
            <w:r w:rsidR="00932CD9">
              <w:rPr>
                <w:b/>
              </w:rPr>
              <w:t>s</w:t>
            </w:r>
            <w:r w:rsidRPr="00E51A17">
              <w:rPr>
                <w:b/>
              </w:rPr>
              <w:t xml:space="preserve"> in </w:t>
            </w:r>
            <w:r>
              <w:rPr>
                <w:b/>
              </w:rPr>
              <w:t>Roth 401(k) (</w:t>
            </w:r>
            <w:r w:rsidR="00AE2AB2">
              <w:rPr>
                <w:b/>
              </w:rPr>
              <w:t>m</w:t>
            </w:r>
            <w:r w:rsidRPr="00E51A17">
              <w:rPr>
                <w:b/>
              </w:rPr>
              <w:t xml:space="preserve">odel </w:t>
            </w:r>
            <w:r>
              <w:rPr>
                <w:b/>
              </w:rPr>
              <w:t>5)</w:t>
            </w:r>
          </w:p>
        </w:tc>
        <w:tc>
          <w:tcPr>
            <w:tcW w:w="6750" w:type="dxa"/>
          </w:tcPr>
          <w:p w:rsidR="009E5856" w:rsidRPr="00E51A17" w:rsidRDefault="009E5856" w:rsidP="004E1B92">
            <w:pPr>
              <w:spacing w:line="276" w:lineRule="auto"/>
              <w:rPr>
                <w:b/>
              </w:rPr>
            </w:pPr>
          </w:p>
          <w:p w:rsidR="009E5856" w:rsidRPr="00E51A17" w:rsidRDefault="009E5856" w:rsidP="00647671">
            <w:pPr>
              <w:spacing w:line="276" w:lineRule="auto"/>
              <w:rPr>
                <w:b/>
              </w:rPr>
            </w:pPr>
            <w:r w:rsidRPr="00E51A17">
              <w:rPr>
                <w:b/>
              </w:rPr>
              <w:t>$</w:t>
            </w:r>
            <w:r>
              <w:rPr>
                <w:b/>
              </w:rPr>
              <w:t xml:space="preserve">  6</w:t>
            </w:r>
            <w:r w:rsidRPr="00E51A17">
              <w:rPr>
                <w:b/>
              </w:rPr>
              <w:t>,</w:t>
            </w:r>
            <w:r>
              <w:rPr>
                <w:b/>
              </w:rPr>
              <w:t>25</w:t>
            </w:r>
            <w:r w:rsidRPr="00E51A17">
              <w:rPr>
                <w:b/>
              </w:rPr>
              <w:t>0(1.</w:t>
            </w:r>
            <w:r>
              <w:rPr>
                <w:b/>
              </w:rPr>
              <w:t>0</w:t>
            </w:r>
            <w:r w:rsidR="00647671">
              <w:rPr>
                <w:b/>
              </w:rPr>
              <w:t>4</w:t>
            </w:r>
            <w:r>
              <w:rPr>
                <w:b/>
              </w:rPr>
              <w:t>)</w:t>
            </w:r>
            <w:r>
              <w:rPr>
                <w:b/>
                <w:vertAlign w:val="superscript"/>
              </w:rPr>
              <w:t>2</w:t>
            </w:r>
            <w:r w:rsidRPr="00E51A17">
              <w:rPr>
                <w:b/>
                <w:vertAlign w:val="superscript"/>
              </w:rPr>
              <w:t>0</w:t>
            </w:r>
          </w:p>
        </w:tc>
        <w:tc>
          <w:tcPr>
            <w:tcW w:w="1440" w:type="dxa"/>
          </w:tcPr>
          <w:p w:rsidR="009E5856" w:rsidRPr="00E51A17" w:rsidRDefault="009E5856" w:rsidP="00A03E94">
            <w:pPr>
              <w:spacing w:line="276" w:lineRule="auto"/>
              <w:rPr>
                <w:b/>
              </w:rPr>
            </w:pPr>
          </w:p>
          <w:p w:rsidR="009E5856" w:rsidRPr="00E51A17" w:rsidRDefault="00A03E94" w:rsidP="00A03E94">
            <w:pPr>
              <w:spacing w:line="276" w:lineRule="auto"/>
              <w:rPr>
                <w:b/>
              </w:rPr>
            </w:pPr>
            <w:r>
              <w:rPr>
                <w:b/>
              </w:rPr>
              <w:t xml:space="preserve">   </w:t>
            </w:r>
            <w:r w:rsidR="00647671">
              <w:rPr>
                <w:b/>
              </w:rPr>
              <w:t>13</w:t>
            </w:r>
            <w:r w:rsidR="009E5856" w:rsidRPr="00E51A17">
              <w:rPr>
                <w:b/>
              </w:rPr>
              <w:t>,</w:t>
            </w:r>
            <w:r w:rsidR="00647671">
              <w:rPr>
                <w:b/>
              </w:rPr>
              <w:t>695</w:t>
            </w:r>
          </w:p>
        </w:tc>
      </w:tr>
      <w:tr w:rsidR="009E5856" w:rsidRPr="00E51A17" w:rsidTr="00E43CCB">
        <w:tc>
          <w:tcPr>
            <w:tcW w:w="4140" w:type="dxa"/>
          </w:tcPr>
          <w:p w:rsidR="009E5856" w:rsidRPr="00E51A17" w:rsidRDefault="009E5856" w:rsidP="004E1B92">
            <w:pPr>
              <w:spacing w:line="276" w:lineRule="auto"/>
              <w:rPr>
                <w:b/>
              </w:rPr>
            </w:pPr>
          </w:p>
          <w:p w:rsidR="009E5856" w:rsidRPr="00E51A17" w:rsidRDefault="009E5856" w:rsidP="00AE2AB2">
            <w:pPr>
              <w:spacing w:line="276" w:lineRule="auto"/>
              <w:rPr>
                <w:b/>
              </w:rPr>
            </w:pPr>
            <w:r w:rsidRPr="00E51A17">
              <w:rPr>
                <w:b/>
              </w:rPr>
              <w:t>Bond</w:t>
            </w:r>
            <w:r w:rsidR="00932CD9">
              <w:rPr>
                <w:b/>
              </w:rPr>
              <w:t>s</w:t>
            </w:r>
            <w:r w:rsidRPr="00E51A17">
              <w:rPr>
                <w:b/>
              </w:rPr>
              <w:t xml:space="preserve"> </w:t>
            </w:r>
            <w:r>
              <w:rPr>
                <w:b/>
              </w:rPr>
              <w:t>in taxable account</w:t>
            </w:r>
            <w:r w:rsidRPr="00E51A17">
              <w:rPr>
                <w:b/>
              </w:rPr>
              <w:t xml:space="preserve"> (</w:t>
            </w:r>
            <w:r w:rsidR="00AE2AB2">
              <w:rPr>
                <w:b/>
              </w:rPr>
              <w:t>m</w:t>
            </w:r>
            <w:r w:rsidRPr="00E51A17">
              <w:rPr>
                <w:b/>
              </w:rPr>
              <w:t>odel 1)</w:t>
            </w:r>
          </w:p>
        </w:tc>
        <w:tc>
          <w:tcPr>
            <w:tcW w:w="6750" w:type="dxa"/>
          </w:tcPr>
          <w:p w:rsidR="009E5856" w:rsidRPr="00E51A17" w:rsidRDefault="009E5856" w:rsidP="004E1B92">
            <w:pPr>
              <w:spacing w:line="276" w:lineRule="auto"/>
              <w:rPr>
                <w:b/>
              </w:rPr>
            </w:pPr>
          </w:p>
          <w:p w:rsidR="009E5856" w:rsidRPr="00E51A17" w:rsidRDefault="009E5856" w:rsidP="004E1B92">
            <w:pPr>
              <w:spacing w:line="276" w:lineRule="auto"/>
              <w:rPr>
                <w:b/>
              </w:rPr>
            </w:pPr>
            <w:r w:rsidRPr="00E51A17">
              <w:rPr>
                <w:b/>
              </w:rPr>
              <w:t>$</w:t>
            </w:r>
            <w:r>
              <w:rPr>
                <w:b/>
              </w:rPr>
              <w:t xml:space="preserve">12,500 </w:t>
            </w:r>
            <w:r w:rsidRPr="00E51A17">
              <w:rPr>
                <w:b/>
              </w:rPr>
              <w:t>(1</w:t>
            </w:r>
            <w:r w:rsidR="00BB7F98">
              <w:rPr>
                <w:b/>
              </w:rPr>
              <w:t xml:space="preserve"> </w:t>
            </w:r>
            <w:r>
              <w:rPr>
                <w:b/>
              </w:rPr>
              <w:t>+</w:t>
            </w:r>
            <w:r w:rsidR="00BB7F98">
              <w:rPr>
                <w:b/>
              </w:rPr>
              <w:t xml:space="preserve"> </w:t>
            </w:r>
            <w:r w:rsidRPr="00E51A17">
              <w:rPr>
                <w:b/>
              </w:rPr>
              <w:t>.0</w:t>
            </w:r>
            <w:r w:rsidR="00647671">
              <w:rPr>
                <w:b/>
              </w:rPr>
              <w:t>4</w:t>
            </w:r>
            <w:r>
              <w:rPr>
                <w:b/>
              </w:rPr>
              <w:t>(1</w:t>
            </w:r>
            <w:r w:rsidR="00BB7F98">
              <w:rPr>
                <w:b/>
              </w:rPr>
              <w:t xml:space="preserve"> </w:t>
            </w:r>
            <w:r w:rsidRPr="00E51A17">
              <w:rPr>
                <w:b/>
              </w:rPr>
              <w:t>− .</w:t>
            </w:r>
            <w:r>
              <w:rPr>
                <w:b/>
              </w:rPr>
              <w:t>25</w:t>
            </w:r>
            <w:r w:rsidRPr="00E51A17">
              <w:rPr>
                <w:b/>
              </w:rPr>
              <w:t>))</w:t>
            </w:r>
            <w:r>
              <w:rPr>
                <w:b/>
                <w:vertAlign w:val="superscript"/>
              </w:rPr>
              <w:t>2</w:t>
            </w:r>
            <w:r w:rsidRPr="00E51A17">
              <w:rPr>
                <w:b/>
                <w:vertAlign w:val="superscript"/>
              </w:rPr>
              <w:t>0</w:t>
            </w:r>
          </w:p>
        </w:tc>
        <w:tc>
          <w:tcPr>
            <w:tcW w:w="1440" w:type="dxa"/>
          </w:tcPr>
          <w:p w:rsidR="009E5856" w:rsidRPr="00E51A17" w:rsidRDefault="009E5856" w:rsidP="004E1B92">
            <w:pPr>
              <w:spacing w:line="276" w:lineRule="auto"/>
              <w:rPr>
                <w:b/>
              </w:rPr>
            </w:pPr>
          </w:p>
          <w:p w:rsidR="009E5856" w:rsidRPr="00E51A17" w:rsidRDefault="009E5856" w:rsidP="001D0D39">
            <w:pPr>
              <w:spacing w:line="276" w:lineRule="auto"/>
              <w:rPr>
                <w:b/>
              </w:rPr>
            </w:pPr>
            <w:r w:rsidRPr="00E51A17">
              <w:rPr>
                <w:b/>
                <w:u w:val="single"/>
              </w:rPr>
              <w:t xml:space="preserve"> </w:t>
            </w:r>
            <w:r>
              <w:rPr>
                <w:b/>
                <w:u w:val="single"/>
              </w:rPr>
              <w:t xml:space="preserve">  </w:t>
            </w:r>
            <w:r w:rsidR="00647671">
              <w:rPr>
                <w:b/>
                <w:u w:val="single"/>
              </w:rPr>
              <w:t>22</w:t>
            </w:r>
            <w:r w:rsidRPr="00E51A17">
              <w:rPr>
                <w:b/>
                <w:u w:val="single"/>
              </w:rPr>
              <w:t>,</w:t>
            </w:r>
            <w:r w:rsidR="00647671">
              <w:rPr>
                <w:b/>
                <w:u w:val="single"/>
              </w:rPr>
              <w:t>576</w:t>
            </w:r>
          </w:p>
        </w:tc>
      </w:tr>
      <w:tr w:rsidR="009E5856" w:rsidRPr="00E51A17" w:rsidTr="00E43CCB">
        <w:tc>
          <w:tcPr>
            <w:tcW w:w="4140" w:type="dxa"/>
          </w:tcPr>
          <w:p w:rsidR="009E5856" w:rsidRPr="00E51A17" w:rsidRDefault="009E5856" w:rsidP="004E1B92">
            <w:pPr>
              <w:spacing w:line="276" w:lineRule="auto"/>
              <w:rPr>
                <w:b/>
              </w:rPr>
            </w:pPr>
          </w:p>
          <w:p w:rsidR="009E5856" w:rsidRPr="00E51A17" w:rsidRDefault="009E5856" w:rsidP="004E1B92">
            <w:pPr>
              <w:spacing w:line="276" w:lineRule="auto"/>
              <w:rPr>
                <w:b/>
              </w:rPr>
            </w:pPr>
            <w:r>
              <w:rPr>
                <w:b/>
              </w:rPr>
              <w:t>ATFV</w:t>
            </w:r>
          </w:p>
        </w:tc>
        <w:tc>
          <w:tcPr>
            <w:tcW w:w="6750" w:type="dxa"/>
          </w:tcPr>
          <w:p w:rsidR="009E5856" w:rsidRPr="00E51A17" w:rsidRDefault="009E5856" w:rsidP="004E1B92">
            <w:pPr>
              <w:spacing w:line="276" w:lineRule="auto"/>
              <w:rPr>
                <w:b/>
              </w:rPr>
            </w:pPr>
          </w:p>
          <w:p w:rsidR="009E5856" w:rsidRPr="00E51A17" w:rsidRDefault="009E5856" w:rsidP="004E1B92">
            <w:pPr>
              <w:spacing w:line="276" w:lineRule="auto"/>
              <w:rPr>
                <w:b/>
              </w:rPr>
            </w:pPr>
          </w:p>
        </w:tc>
        <w:tc>
          <w:tcPr>
            <w:tcW w:w="1440" w:type="dxa"/>
          </w:tcPr>
          <w:p w:rsidR="009E5856" w:rsidRPr="00E51A17" w:rsidRDefault="009E5856" w:rsidP="004E1B92">
            <w:pPr>
              <w:spacing w:line="276" w:lineRule="auto"/>
              <w:rPr>
                <w:b/>
              </w:rPr>
            </w:pPr>
          </w:p>
          <w:p w:rsidR="009E5856" w:rsidRPr="00E51A17" w:rsidRDefault="009E5856" w:rsidP="004E1B92">
            <w:pPr>
              <w:spacing w:line="276" w:lineRule="auto"/>
              <w:rPr>
                <w:b/>
              </w:rPr>
            </w:pPr>
            <w:r w:rsidRPr="00E51A17">
              <w:rPr>
                <w:b/>
                <w:u w:val="double"/>
              </w:rPr>
              <w:t>$</w:t>
            </w:r>
            <w:r>
              <w:rPr>
                <w:b/>
                <w:u w:val="double"/>
              </w:rPr>
              <w:t>1</w:t>
            </w:r>
            <w:r w:rsidR="00647671">
              <w:rPr>
                <w:b/>
                <w:u w:val="double"/>
              </w:rPr>
              <w:t>23</w:t>
            </w:r>
            <w:r w:rsidRPr="00E51A17">
              <w:rPr>
                <w:b/>
                <w:u w:val="double"/>
              </w:rPr>
              <w:t>,</w:t>
            </w:r>
            <w:r w:rsidR="00647671">
              <w:rPr>
                <w:b/>
                <w:u w:val="double"/>
              </w:rPr>
              <w:t>664</w:t>
            </w:r>
          </w:p>
        </w:tc>
      </w:tr>
    </w:tbl>
    <w:p w:rsidR="009E5856" w:rsidRDefault="009E5856" w:rsidP="009E5856">
      <w:pPr>
        <w:spacing w:line="276" w:lineRule="auto"/>
        <w:rPr>
          <w:b/>
        </w:rPr>
      </w:pPr>
    </w:p>
    <w:p w:rsidR="009E5856" w:rsidRDefault="009E5856" w:rsidP="009E5856">
      <w:pPr>
        <w:spacing w:line="276" w:lineRule="auto"/>
        <w:rPr>
          <w:b/>
        </w:rPr>
      </w:pPr>
    </w:p>
    <w:p w:rsidR="009E5856" w:rsidRDefault="009E5856" w:rsidP="009E5856">
      <w:pPr>
        <w:spacing w:line="276" w:lineRule="auto"/>
        <w:rPr>
          <w:b/>
        </w:rPr>
      </w:pPr>
    </w:p>
    <w:p w:rsidR="009E5856" w:rsidRPr="00E51A17" w:rsidRDefault="000B79CE" w:rsidP="009E5856">
      <w:pPr>
        <w:spacing w:line="276" w:lineRule="auto"/>
        <w:rPr>
          <w:b/>
        </w:rPr>
      </w:pPr>
      <w:r>
        <w:rPr>
          <w:b/>
        </w:rPr>
        <w:t>Bond</w:t>
      </w:r>
      <w:r w:rsidR="00932CD9">
        <w:rPr>
          <w:b/>
        </w:rPr>
        <w:t>s</w:t>
      </w:r>
      <w:r>
        <w:rPr>
          <w:b/>
        </w:rPr>
        <w:t xml:space="preserve"> </w:t>
      </w:r>
      <w:proofErr w:type="gramStart"/>
      <w:r>
        <w:rPr>
          <w:b/>
        </w:rPr>
        <w:t>In</w:t>
      </w:r>
      <w:proofErr w:type="gramEnd"/>
      <w:r>
        <w:rPr>
          <w:b/>
        </w:rPr>
        <w:t xml:space="preserve"> – Stock</w:t>
      </w:r>
      <w:r w:rsidR="00932CD9">
        <w:rPr>
          <w:b/>
        </w:rPr>
        <w:t>s</w:t>
      </w:r>
      <w:r>
        <w:rPr>
          <w:b/>
        </w:rPr>
        <w:t xml:space="preserve"> Out: </w:t>
      </w:r>
      <w:r w:rsidR="009E5856">
        <w:rPr>
          <w:b/>
        </w:rPr>
        <w:t>Using a Roth 401(k) to hold</w:t>
      </w:r>
      <w:r>
        <w:rPr>
          <w:b/>
        </w:rPr>
        <w:t xml:space="preserve"> AT$ = $25,000</w:t>
      </w:r>
      <w:r w:rsidR="009E5856">
        <w:rPr>
          <w:b/>
        </w:rPr>
        <w:t>:</w:t>
      </w:r>
    </w:p>
    <w:tbl>
      <w:tblPr>
        <w:tblW w:w="12420" w:type="dxa"/>
        <w:tblInd w:w="840" w:type="dxa"/>
        <w:tblLayout w:type="fixed"/>
        <w:tblCellMar>
          <w:left w:w="120" w:type="dxa"/>
          <w:right w:w="120" w:type="dxa"/>
        </w:tblCellMar>
        <w:tblLook w:val="04A0" w:firstRow="1" w:lastRow="0" w:firstColumn="1" w:lastColumn="0" w:noHBand="0" w:noVBand="1"/>
      </w:tblPr>
      <w:tblGrid>
        <w:gridCol w:w="3240"/>
        <w:gridCol w:w="900"/>
        <w:gridCol w:w="6840"/>
        <w:gridCol w:w="1440"/>
      </w:tblGrid>
      <w:tr w:rsidR="009E5856" w:rsidRPr="00E51A17" w:rsidTr="00E43CCB">
        <w:trPr>
          <w:tblHeader/>
        </w:trPr>
        <w:tc>
          <w:tcPr>
            <w:tcW w:w="4140" w:type="dxa"/>
            <w:gridSpan w:val="2"/>
          </w:tcPr>
          <w:p w:rsidR="009E5856" w:rsidRPr="00E51A17" w:rsidRDefault="009E5856" w:rsidP="004E1B92">
            <w:pPr>
              <w:spacing w:line="276" w:lineRule="auto"/>
              <w:rPr>
                <w:b/>
              </w:rPr>
            </w:pPr>
          </w:p>
          <w:p w:rsidR="009E5856" w:rsidRPr="00E51A17" w:rsidRDefault="009E5856" w:rsidP="00AE2AB2">
            <w:pPr>
              <w:spacing w:line="276" w:lineRule="auto"/>
              <w:rPr>
                <w:b/>
              </w:rPr>
            </w:pPr>
            <w:r w:rsidRPr="00E51A17">
              <w:rPr>
                <w:b/>
              </w:rPr>
              <w:t>Bond</w:t>
            </w:r>
            <w:r w:rsidR="00932CD9">
              <w:rPr>
                <w:b/>
              </w:rPr>
              <w:t>s</w:t>
            </w:r>
            <w:r w:rsidRPr="00E51A17">
              <w:rPr>
                <w:b/>
              </w:rPr>
              <w:t xml:space="preserve"> held in </w:t>
            </w:r>
            <w:r>
              <w:rPr>
                <w:b/>
              </w:rPr>
              <w:t>Roth (</w:t>
            </w:r>
            <w:r w:rsidR="00AE2AB2">
              <w:rPr>
                <w:b/>
              </w:rPr>
              <w:t>m</w:t>
            </w:r>
            <w:r w:rsidRPr="00E51A17">
              <w:rPr>
                <w:b/>
              </w:rPr>
              <w:t xml:space="preserve">odel </w:t>
            </w:r>
            <w:r>
              <w:rPr>
                <w:b/>
              </w:rPr>
              <w:t>5)</w:t>
            </w:r>
          </w:p>
        </w:tc>
        <w:tc>
          <w:tcPr>
            <w:tcW w:w="6840" w:type="dxa"/>
          </w:tcPr>
          <w:p w:rsidR="009E5856" w:rsidRPr="00E51A17" w:rsidRDefault="009E5856" w:rsidP="004E1B92">
            <w:pPr>
              <w:spacing w:line="276" w:lineRule="auto"/>
              <w:rPr>
                <w:b/>
              </w:rPr>
            </w:pPr>
          </w:p>
          <w:p w:rsidR="009E5856" w:rsidRPr="00E51A17" w:rsidRDefault="009E5856" w:rsidP="004E1B92">
            <w:pPr>
              <w:spacing w:line="276" w:lineRule="auto"/>
              <w:rPr>
                <w:b/>
              </w:rPr>
            </w:pPr>
            <w:r w:rsidRPr="00E51A17">
              <w:rPr>
                <w:b/>
              </w:rPr>
              <w:t>$</w:t>
            </w:r>
            <w:r>
              <w:rPr>
                <w:b/>
              </w:rPr>
              <w:t>18</w:t>
            </w:r>
            <w:r w:rsidRPr="00E51A17">
              <w:rPr>
                <w:b/>
              </w:rPr>
              <w:t>,</w:t>
            </w:r>
            <w:r>
              <w:rPr>
                <w:b/>
              </w:rPr>
              <w:t>75</w:t>
            </w:r>
            <w:r w:rsidRPr="00E51A17">
              <w:rPr>
                <w:b/>
              </w:rPr>
              <w:t>0(1.</w:t>
            </w:r>
            <w:r>
              <w:rPr>
                <w:b/>
              </w:rPr>
              <w:t>0</w:t>
            </w:r>
            <w:r w:rsidR="00647671">
              <w:rPr>
                <w:b/>
              </w:rPr>
              <w:t>4</w:t>
            </w:r>
            <w:r w:rsidRPr="00E51A17">
              <w:rPr>
                <w:b/>
              </w:rPr>
              <w:t>)</w:t>
            </w:r>
            <w:r>
              <w:rPr>
                <w:b/>
                <w:vertAlign w:val="superscript"/>
              </w:rPr>
              <w:t>2</w:t>
            </w:r>
            <w:r w:rsidRPr="00E51A17">
              <w:rPr>
                <w:b/>
                <w:vertAlign w:val="superscript"/>
              </w:rPr>
              <w:t>0</w:t>
            </w:r>
          </w:p>
        </w:tc>
        <w:tc>
          <w:tcPr>
            <w:tcW w:w="1440" w:type="dxa"/>
          </w:tcPr>
          <w:p w:rsidR="009E5856" w:rsidRPr="00E51A17" w:rsidRDefault="009E5856" w:rsidP="004E1B92">
            <w:pPr>
              <w:spacing w:line="276" w:lineRule="auto"/>
              <w:rPr>
                <w:b/>
              </w:rPr>
            </w:pPr>
          </w:p>
          <w:p w:rsidR="009E5856" w:rsidRPr="00E51A17" w:rsidRDefault="00A03E94" w:rsidP="00A03E94">
            <w:pPr>
              <w:spacing w:line="276" w:lineRule="auto"/>
              <w:rPr>
                <w:b/>
              </w:rPr>
            </w:pPr>
            <w:r>
              <w:rPr>
                <w:b/>
              </w:rPr>
              <w:t xml:space="preserve"> </w:t>
            </w:r>
            <w:r w:rsidR="009E5856" w:rsidRPr="00E51A17">
              <w:rPr>
                <w:b/>
              </w:rPr>
              <w:t>$</w:t>
            </w:r>
            <w:r w:rsidR="00647671">
              <w:rPr>
                <w:b/>
              </w:rPr>
              <w:t>41</w:t>
            </w:r>
            <w:r w:rsidR="009E5856" w:rsidRPr="00E51A17">
              <w:rPr>
                <w:b/>
              </w:rPr>
              <w:t>,</w:t>
            </w:r>
            <w:r w:rsidR="00647671">
              <w:rPr>
                <w:b/>
              </w:rPr>
              <w:t>084</w:t>
            </w:r>
          </w:p>
        </w:tc>
      </w:tr>
      <w:tr w:rsidR="009E5856" w:rsidRPr="00E51A17" w:rsidTr="00E43CCB">
        <w:trPr>
          <w:tblHeader/>
        </w:trPr>
        <w:tc>
          <w:tcPr>
            <w:tcW w:w="4140" w:type="dxa"/>
            <w:gridSpan w:val="2"/>
          </w:tcPr>
          <w:p w:rsidR="009E5856" w:rsidRPr="00E51A17" w:rsidRDefault="009E5856" w:rsidP="004E1B92">
            <w:pPr>
              <w:spacing w:line="276" w:lineRule="auto"/>
              <w:rPr>
                <w:b/>
              </w:rPr>
            </w:pPr>
          </w:p>
          <w:p w:rsidR="009E5856" w:rsidRPr="00E51A17" w:rsidRDefault="009E5856" w:rsidP="00AE2AB2">
            <w:pPr>
              <w:spacing w:line="276" w:lineRule="auto"/>
              <w:rPr>
                <w:b/>
              </w:rPr>
            </w:pPr>
            <w:r>
              <w:rPr>
                <w:b/>
              </w:rPr>
              <w:t>Stock</w:t>
            </w:r>
            <w:r w:rsidR="00932CD9">
              <w:rPr>
                <w:b/>
              </w:rPr>
              <w:t>s</w:t>
            </w:r>
            <w:r w:rsidRPr="00E51A17">
              <w:rPr>
                <w:b/>
              </w:rPr>
              <w:t xml:space="preserve"> held in </w:t>
            </w:r>
            <w:r>
              <w:rPr>
                <w:b/>
              </w:rPr>
              <w:t>Roth (</w:t>
            </w:r>
            <w:r w:rsidR="00AE2AB2">
              <w:rPr>
                <w:b/>
              </w:rPr>
              <w:t>m</w:t>
            </w:r>
            <w:r w:rsidRPr="00E51A17">
              <w:rPr>
                <w:b/>
              </w:rPr>
              <w:t xml:space="preserve">odel </w:t>
            </w:r>
            <w:r>
              <w:rPr>
                <w:b/>
              </w:rPr>
              <w:t>5)</w:t>
            </w:r>
          </w:p>
        </w:tc>
        <w:tc>
          <w:tcPr>
            <w:tcW w:w="6840" w:type="dxa"/>
          </w:tcPr>
          <w:p w:rsidR="009E5856" w:rsidRPr="00E51A17" w:rsidRDefault="009E5856" w:rsidP="004E1B92">
            <w:pPr>
              <w:spacing w:line="276" w:lineRule="auto"/>
              <w:rPr>
                <w:b/>
              </w:rPr>
            </w:pPr>
          </w:p>
          <w:p w:rsidR="009E5856" w:rsidRPr="00E51A17" w:rsidRDefault="009E5856" w:rsidP="004E1B92">
            <w:pPr>
              <w:spacing w:line="276" w:lineRule="auto"/>
              <w:rPr>
                <w:b/>
              </w:rPr>
            </w:pPr>
            <w:r w:rsidRPr="00E51A17">
              <w:rPr>
                <w:b/>
              </w:rPr>
              <w:t>$</w:t>
            </w:r>
            <w:r>
              <w:rPr>
                <w:b/>
              </w:rPr>
              <w:t xml:space="preserve"> 6</w:t>
            </w:r>
            <w:r w:rsidRPr="00E51A17">
              <w:rPr>
                <w:b/>
              </w:rPr>
              <w:t>,</w:t>
            </w:r>
            <w:r>
              <w:rPr>
                <w:b/>
              </w:rPr>
              <w:t>25</w:t>
            </w:r>
            <w:r w:rsidRPr="00E51A17">
              <w:rPr>
                <w:b/>
              </w:rPr>
              <w:t>0(1.</w:t>
            </w:r>
            <w:r w:rsidR="00647671">
              <w:rPr>
                <w:b/>
              </w:rPr>
              <w:t>08</w:t>
            </w:r>
            <w:r w:rsidRPr="00E51A17">
              <w:rPr>
                <w:b/>
              </w:rPr>
              <w:t>)</w:t>
            </w:r>
            <w:r>
              <w:rPr>
                <w:b/>
                <w:vertAlign w:val="superscript"/>
              </w:rPr>
              <w:t>2</w:t>
            </w:r>
            <w:r w:rsidRPr="00E51A17">
              <w:rPr>
                <w:b/>
                <w:vertAlign w:val="superscript"/>
              </w:rPr>
              <w:t>0</w:t>
            </w:r>
          </w:p>
        </w:tc>
        <w:tc>
          <w:tcPr>
            <w:tcW w:w="1440" w:type="dxa"/>
          </w:tcPr>
          <w:p w:rsidR="009E5856" w:rsidRPr="00E51A17" w:rsidRDefault="009E5856" w:rsidP="004E1B92">
            <w:pPr>
              <w:spacing w:line="276" w:lineRule="auto"/>
              <w:rPr>
                <w:b/>
              </w:rPr>
            </w:pPr>
          </w:p>
          <w:p w:rsidR="009E5856" w:rsidRPr="00E51A17" w:rsidRDefault="00A03E94" w:rsidP="004E1B92">
            <w:pPr>
              <w:spacing w:line="276" w:lineRule="auto"/>
              <w:rPr>
                <w:b/>
              </w:rPr>
            </w:pPr>
            <w:r>
              <w:rPr>
                <w:b/>
              </w:rPr>
              <w:t xml:space="preserve">   </w:t>
            </w:r>
            <w:r w:rsidR="00647671">
              <w:rPr>
                <w:b/>
              </w:rPr>
              <w:t>29</w:t>
            </w:r>
            <w:r w:rsidR="009E5856" w:rsidRPr="00E51A17">
              <w:rPr>
                <w:b/>
              </w:rPr>
              <w:t>,</w:t>
            </w:r>
            <w:r w:rsidR="00647671">
              <w:rPr>
                <w:b/>
              </w:rPr>
              <w:t>131</w:t>
            </w:r>
          </w:p>
        </w:tc>
      </w:tr>
      <w:tr w:rsidR="009E5856" w:rsidRPr="00E51A17" w:rsidTr="0032114B">
        <w:tc>
          <w:tcPr>
            <w:tcW w:w="3240" w:type="dxa"/>
          </w:tcPr>
          <w:p w:rsidR="009E5856" w:rsidRPr="00E51A17" w:rsidRDefault="009E5856" w:rsidP="004E1B92">
            <w:pPr>
              <w:spacing w:line="276" w:lineRule="auto"/>
              <w:rPr>
                <w:b/>
              </w:rPr>
            </w:pPr>
          </w:p>
          <w:p w:rsidR="009E5856" w:rsidRPr="00E51A17" w:rsidRDefault="009E5856" w:rsidP="00C81295">
            <w:pPr>
              <w:spacing w:line="276" w:lineRule="auto"/>
              <w:rPr>
                <w:b/>
              </w:rPr>
            </w:pPr>
            <w:r w:rsidRPr="00E51A17">
              <w:rPr>
                <w:b/>
              </w:rPr>
              <w:t>Stock</w:t>
            </w:r>
            <w:r w:rsidR="00932CD9">
              <w:rPr>
                <w:b/>
              </w:rPr>
              <w:t>s</w:t>
            </w:r>
            <w:r w:rsidRPr="00E51A17">
              <w:rPr>
                <w:b/>
              </w:rPr>
              <w:t xml:space="preserve"> </w:t>
            </w:r>
            <w:r>
              <w:rPr>
                <w:b/>
              </w:rPr>
              <w:t>in taxable account</w:t>
            </w:r>
            <w:r w:rsidRPr="00E51A17">
              <w:rPr>
                <w:b/>
              </w:rPr>
              <w:t xml:space="preserve"> </w:t>
            </w:r>
            <w:r w:rsidR="00647671" w:rsidRPr="00E51A17">
              <w:rPr>
                <w:b/>
              </w:rPr>
              <w:t>(</w:t>
            </w:r>
            <w:r w:rsidR="00647671">
              <w:rPr>
                <w:b/>
              </w:rPr>
              <w:t>hybrid: m</w:t>
            </w:r>
            <w:r w:rsidR="00647671" w:rsidRPr="00E51A17">
              <w:rPr>
                <w:b/>
              </w:rPr>
              <w:t>odel</w:t>
            </w:r>
            <w:r w:rsidR="00647671">
              <w:rPr>
                <w:b/>
              </w:rPr>
              <w:t>s</w:t>
            </w:r>
            <w:r w:rsidR="00647671" w:rsidRPr="00E51A17">
              <w:rPr>
                <w:b/>
              </w:rPr>
              <w:t xml:space="preserve"> </w:t>
            </w:r>
            <w:r w:rsidR="00647671">
              <w:rPr>
                <w:b/>
              </w:rPr>
              <w:t>2 &amp; 3</w:t>
            </w:r>
            <w:r w:rsidR="00647671" w:rsidRPr="00E51A17">
              <w:rPr>
                <w:b/>
              </w:rPr>
              <w:t>)</w:t>
            </w:r>
          </w:p>
        </w:tc>
        <w:tc>
          <w:tcPr>
            <w:tcW w:w="7740" w:type="dxa"/>
            <w:gridSpan w:val="2"/>
          </w:tcPr>
          <w:p w:rsidR="009E5856" w:rsidRPr="00E51A17" w:rsidRDefault="009E5856" w:rsidP="004E1B92">
            <w:pPr>
              <w:spacing w:line="276" w:lineRule="auto"/>
              <w:rPr>
                <w:b/>
              </w:rPr>
            </w:pPr>
          </w:p>
          <w:p w:rsidR="00E43CCB" w:rsidRDefault="00647671" w:rsidP="00A03E94">
            <w:pPr>
              <w:spacing w:line="276" w:lineRule="auto"/>
              <w:rPr>
                <w:b/>
              </w:rPr>
            </w:pPr>
            <w:r w:rsidRPr="00E51A17">
              <w:rPr>
                <w:b/>
              </w:rPr>
              <w:t>$</w:t>
            </w:r>
            <w:r>
              <w:rPr>
                <w:b/>
              </w:rPr>
              <w:t>12</w:t>
            </w:r>
            <w:r w:rsidRPr="00E51A17">
              <w:rPr>
                <w:b/>
              </w:rPr>
              <w:t>,</w:t>
            </w:r>
            <w:r>
              <w:rPr>
                <w:b/>
              </w:rPr>
              <w:t>50</w:t>
            </w:r>
            <w:r w:rsidRPr="00E51A17">
              <w:rPr>
                <w:b/>
              </w:rPr>
              <w:t>0</w:t>
            </w:r>
            <w:r>
              <w:rPr>
                <w:b/>
              </w:rPr>
              <w:t>(1.08</w:t>
            </w:r>
            <w:r w:rsidR="00A10273">
              <w:rPr>
                <w:b/>
              </w:rPr>
              <w:t xml:space="preserve"> </w:t>
            </w:r>
            <w:r>
              <w:rPr>
                <w:b/>
              </w:rPr>
              <w:t>−</w:t>
            </w:r>
            <w:r w:rsidR="00A10273">
              <w:rPr>
                <w:b/>
              </w:rPr>
              <w:t xml:space="preserve"> </w:t>
            </w:r>
            <w:r>
              <w:rPr>
                <w:b/>
              </w:rPr>
              <w:t>.003)</w:t>
            </w:r>
            <w:r>
              <w:rPr>
                <w:b/>
                <w:vertAlign w:val="superscript"/>
              </w:rPr>
              <w:t xml:space="preserve">20 </w:t>
            </w:r>
            <w:r>
              <w:rPr>
                <w:b/>
              </w:rPr>
              <w:t>− .15{</w:t>
            </w:r>
            <w:r w:rsidRPr="00E51A17">
              <w:rPr>
                <w:b/>
              </w:rPr>
              <w:t>$</w:t>
            </w:r>
            <w:r>
              <w:rPr>
                <w:b/>
              </w:rPr>
              <w:t>12</w:t>
            </w:r>
            <w:r w:rsidRPr="00E51A17">
              <w:rPr>
                <w:b/>
              </w:rPr>
              <w:t>,</w:t>
            </w:r>
            <w:r>
              <w:rPr>
                <w:b/>
              </w:rPr>
              <w:t>50</w:t>
            </w:r>
            <w:r w:rsidRPr="00E51A17">
              <w:rPr>
                <w:b/>
              </w:rPr>
              <w:t>0</w:t>
            </w:r>
            <w:r>
              <w:rPr>
                <w:b/>
              </w:rPr>
              <w:t>(1.08</w:t>
            </w:r>
            <w:r w:rsidR="00A10273">
              <w:rPr>
                <w:b/>
              </w:rPr>
              <w:t xml:space="preserve"> </w:t>
            </w:r>
            <w:r>
              <w:rPr>
                <w:b/>
              </w:rPr>
              <w:t>−</w:t>
            </w:r>
            <w:r w:rsidR="00A10273">
              <w:rPr>
                <w:b/>
              </w:rPr>
              <w:t xml:space="preserve"> </w:t>
            </w:r>
            <w:r>
              <w:rPr>
                <w:b/>
              </w:rPr>
              <w:t>.003)</w:t>
            </w:r>
            <w:r>
              <w:rPr>
                <w:b/>
                <w:vertAlign w:val="superscript"/>
              </w:rPr>
              <w:t xml:space="preserve">20 </w:t>
            </w:r>
            <w:r w:rsidRPr="00E51A17">
              <w:rPr>
                <w:b/>
              </w:rPr>
              <w:t xml:space="preserve"> </w:t>
            </w:r>
          </w:p>
          <w:p w:rsidR="009E5856" w:rsidRPr="00E51A17" w:rsidRDefault="00647671" w:rsidP="00A03E94">
            <w:pPr>
              <w:spacing w:line="276" w:lineRule="auto"/>
              <w:rPr>
                <w:b/>
              </w:rPr>
            </w:pPr>
            <w:r>
              <w:rPr>
                <w:b/>
              </w:rPr>
              <w:t>− 12,500</w:t>
            </w:r>
            <w:r w:rsidRPr="00E51A17">
              <w:rPr>
                <w:b/>
              </w:rPr>
              <w:t>[</w:t>
            </w:r>
            <w:r>
              <w:rPr>
                <w:b/>
              </w:rPr>
              <w:t>(.75</w:t>
            </w:r>
            <w:r w:rsidR="00A10273">
              <w:rPr>
                <w:b/>
              </w:rPr>
              <w:t xml:space="preserve"> </w:t>
            </w:r>
            <w:r>
              <w:rPr>
                <w:b/>
              </w:rPr>
              <w:t>+</w:t>
            </w:r>
            <w:r w:rsidR="00A10273">
              <w:rPr>
                <w:b/>
              </w:rPr>
              <w:t xml:space="preserve"> </w:t>
            </w:r>
            <w:r w:rsidRPr="00E51A17">
              <w:rPr>
                <w:b/>
              </w:rPr>
              <w:t>(</w:t>
            </w:r>
            <w:r>
              <w:rPr>
                <w:b/>
              </w:rPr>
              <w:t>1.08</w:t>
            </w:r>
            <w:r w:rsidR="00A10273">
              <w:rPr>
                <w:b/>
              </w:rPr>
              <w:t xml:space="preserve"> </w:t>
            </w:r>
            <w:r>
              <w:rPr>
                <w:b/>
              </w:rPr>
              <w:t>−</w:t>
            </w:r>
            <w:r w:rsidR="00A10273">
              <w:rPr>
                <w:b/>
              </w:rPr>
              <w:t xml:space="preserve"> </w:t>
            </w:r>
            <w:r>
              <w:rPr>
                <w:b/>
              </w:rPr>
              <w:t>.003</w:t>
            </w:r>
            <w:r w:rsidRPr="00E51A17">
              <w:rPr>
                <w:b/>
              </w:rPr>
              <w:t>)</w:t>
            </w:r>
            <w:r>
              <w:rPr>
                <w:b/>
                <w:vertAlign w:val="superscript"/>
              </w:rPr>
              <w:t>2</w:t>
            </w:r>
            <w:r w:rsidRPr="00E51A17">
              <w:rPr>
                <w:b/>
                <w:vertAlign w:val="superscript"/>
              </w:rPr>
              <w:t xml:space="preserve">0 </w:t>
            </w:r>
            <w:r>
              <w:rPr>
                <w:b/>
              </w:rPr>
              <w:t>.25</w:t>
            </w:r>
            <w:r w:rsidRPr="00E51A17">
              <w:rPr>
                <w:b/>
              </w:rPr>
              <w:t>(1</w:t>
            </w:r>
            <w:r w:rsidR="00A10273">
              <w:rPr>
                <w:b/>
              </w:rPr>
              <w:t xml:space="preserve"> </w:t>
            </w:r>
            <w:r w:rsidRPr="00E51A17">
              <w:rPr>
                <w:b/>
              </w:rPr>
              <w:t>−</w:t>
            </w:r>
            <w:r w:rsidR="00A10273">
              <w:rPr>
                <w:b/>
              </w:rPr>
              <w:t xml:space="preserve"> </w:t>
            </w:r>
            <w:r w:rsidRPr="00E51A17">
              <w:rPr>
                <w:b/>
              </w:rPr>
              <w:t>.15)</w:t>
            </w:r>
            <w:r>
              <w:rPr>
                <w:b/>
              </w:rPr>
              <w:t>) / 1</w:t>
            </w:r>
            <w:r w:rsidR="00A10273">
              <w:rPr>
                <w:b/>
              </w:rPr>
              <w:t xml:space="preserve"> </w:t>
            </w:r>
            <w:r>
              <w:rPr>
                <w:b/>
              </w:rPr>
              <w:t>−</w:t>
            </w:r>
            <w:r w:rsidR="00A10273">
              <w:rPr>
                <w:b/>
              </w:rPr>
              <w:t xml:space="preserve"> </w:t>
            </w:r>
            <w:r>
              <w:rPr>
                <w:b/>
              </w:rPr>
              <w:t>(.25</w:t>
            </w:r>
            <w:r w:rsidR="00A10273">
              <w:rPr>
                <w:b/>
              </w:rPr>
              <w:t xml:space="preserve"> </w:t>
            </w:r>
            <w:r>
              <w:rPr>
                <w:b/>
              </w:rPr>
              <w:t>×</w:t>
            </w:r>
            <w:r w:rsidR="00A10273">
              <w:rPr>
                <w:b/>
              </w:rPr>
              <w:t xml:space="preserve"> </w:t>
            </w:r>
            <w:r>
              <w:rPr>
                <w:b/>
              </w:rPr>
              <w:t>.15)</w:t>
            </w:r>
            <w:r w:rsidRPr="00E51A17">
              <w:rPr>
                <w:b/>
              </w:rPr>
              <w:t>]</w:t>
            </w:r>
            <w:r>
              <w:rPr>
                <w:b/>
              </w:rPr>
              <w:t>}</w:t>
            </w:r>
            <w:r w:rsidRPr="00E51A17">
              <w:rPr>
                <w:b/>
              </w:rPr>
              <w:t xml:space="preserve">     </w:t>
            </w:r>
          </w:p>
        </w:tc>
        <w:tc>
          <w:tcPr>
            <w:tcW w:w="1440" w:type="dxa"/>
          </w:tcPr>
          <w:p w:rsidR="009E5856" w:rsidRPr="00E51A17" w:rsidRDefault="009E5856" w:rsidP="004E1B92">
            <w:pPr>
              <w:spacing w:line="276" w:lineRule="auto"/>
              <w:rPr>
                <w:b/>
              </w:rPr>
            </w:pPr>
          </w:p>
          <w:p w:rsidR="00647671" w:rsidRDefault="00647671" w:rsidP="004E1B92">
            <w:pPr>
              <w:spacing w:line="276" w:lineRule="auto"/>
              <w:rPr>
                <w:b/>
                <w:u w:val="single"/>
              </w:rPr>
            </w:pPr>
          </w:p>
          <w:p w:rsidR="009E5856" w:rsidRPr="00E51A17" w:rsidRDefault="009E5856" w:rsidP="004E1B92">
            <w:pPr>
              <w:spacing w:line="276" w:lineRule="auto"/>
              <w:rPr>
                <w:b/>
              </w:rPr>
            </w:pPr>
            <w:r>
              <w:rPr>
                <w:b/>
                <w:u w:val="single"/>
              </w:rPr>
              <w:t xml:space="preserve">   </w:t>
            </w:r>
            <w:r w:rsidR="00647671">
              <w:rPr>
                <w:b/>
                <w:u w:val="single"/>
              </w:rPr>
              <w:t>50</w:t>
            </w:r>
            <w:r>
              <w:rPr>
                <w:b/>
                <w:u w:val="single"/>
              </w:rPr>
              <w:t>,</w:t>
            </w:r>
            <w:r w:rsidR="00647671">
              <w:rPr>
                <w:b/>
                <w:u w:val="single"/>
              </w:rPr>
              <w:t>129</w:t>
            </w:r>
          </w:p>
        </w:tc>
      </w:tr>
      <w:tr w:rsidR="009E5856" w:rsidRPr="00E51A17" w:rsidTr="00E43CCB">
        <w:tc>
          <w:tcPr>
            <w:tcW w:w="4140" w:type="dxa"/>
            <w:gridSpan w:val="2"/>
          </w:tcPr>
          <w:p w:rsidR="009E5856" w:rsidRDefault="009E5856" w:rsidP="004E1B92">
            <w:pPr>
              <w:spacing w:line="276" w:lineRule="auto"/>
              <w:rPr>
                <w:b/>
              </w:rPr>
            </w:pPr>
          </w:p>
          <w:p w:rsidR="009E5856" w:rsidRPr="00E51A17" w:rsidRDefault="009E5856" w:rsidP="004E1B92">
            <w:pPr>
              <w:spacing w:line="276" w:lineRule="auto"/>
              <w:rPr>
                <w:b/>
              </w:rPr>
            </w:pPr>
            <w:r w:rsidRPr="00E51A17">
              <w:rPr>
                <w:b/>
              </w:rPr>
              <w:t>AT</w:t>
            </w:r>
            <w:r>
              <w:rPr>
                <w:b/>
              </w:rPr>
              <w:t>FV</w:t>
            </w:r>
          </w:p>
        </w:tc>
        <w:tc>
          <w:tcPr>
            <w:tcW w:w="6840" w:type="dxa"/>
          </w:tcPr>
          <w:p w:rsidR="009E5856" w:rsidRPr="00E51A17" w:rsidRDefault="009E5856" w:rsidP="004E1B92">
            <w:pPr>
              <w:spacing w:line="276" w:lineRule="auto"/>
              <w:rPr>
                <w:b/>
              </w:rPr>
            </w:pPr>
          </w:p>
        </w:tc>
        <w:tc>
          <w:tcPr>
            <w:tcW w:w="1440" w:type="dxa"/>
          </w:tcPr>
          <w:p w:rsidR="009E5856" w:rsidRDefault="009E5856" w:rsidP="004E1B92">
            <w:pPr>
              <w:spacing w:line="276" w:lineRule="auto"/>
              <w:rPr>
                <w:b/>
                <w:u w:val="double"/>
              </w:rPr>
            </w:pPr>
          </w:p>
          <w:p w:rsidR="009E5856" w:rsidRPr="00E51A17" w:rsidRDefault="009E5856" w:rsidP="004E1B92">
            <w:pPr>
              <w:spacing w:line="276" w:lineRule="auto"/>
              <w:rPr>
                <w:b/>
              </w:rPr>
            </w:pPr>
            <w:r w:rsidRPr="00E51A17">
              <w:rPr>
                <w:b/>
                <w:u w:val="double"/>
              </w:rPr>
              <w:t>$</w:t>
            </w:r>
            <w:r>
              <w:rPr>
                <w:b/>
                <w:u w:val="double"/>
              </w:rPr>
              <w:t>1</w:t>
            </w:r>
            <w:r w:rsidR="00647671">
              <w:rPr>
                <w:b/>
                <w:u w:val="double"/>
              </w:rPr>
              <w:t>20</w:t>
            </w:r>
            <w:r w:rsidRPr="00E51A17">
              <w:rPr>
                <w:b/>
                <w:u w:val="double"/>
              </w:rPr>
              <w:t>,</w:t>
            </w:r>
            <w:r w:rsidR="00647671">
              <w:rPr>
                <w:b/>
                <w:u w:val="double"/>
              </w:rPr>
              <w:t>344</w:t>
            </w:r>
          </w:p>
        </w:tc>
      </w:tr>
    </w:tbl>
    <w:p w:rsidR="00E43CCB" w:rsidRDefault="00E43CCB" w:rsidP="004E1B92">
      <w:pPr>
        <w:spacing w:line="276" w:lineRule="auto"/>
        <w:rPr>
          <w:b/>
        </w:rPr>
        <w:sectPr w:rsidR="00E43CCB" w:rsidSect="00E43CCB">
          <w:endnotePr>
            <w:numFmt w:val="decimal"/>
          </w:endnotePr>
          <w:pgSz w:w="15840" w:h="12240" w:orient="landscape"/>
          <w:pgMar w:top="1440" w:right="1440" w:bottom="1440" w:left="1440" w:header="720" w:footer="720" w:gutter="0"/>
          <w:cols w:space="720"/>
          <w:docGrid w:linePitch="360"/>
        </w:sectPr>
      </w:pPr>
    </w:p>
    <w:tbl>
      <w:tblPr>
        <w:tblW w:w="9900" w:type="dxa"/>
        <w:tblInd w:w="840" w:type="dxa"/>
        <w:tblLayout w:type="fixed"/>
        <w:tblCellMar>
          <w:left w:w="120" w:type="dxa"/>
          <w:right w:w="120" w:type="dxa"/>
        </w:tblCellMar>
        <w:tblLook w:val="04A0" w:firstRow="1" w:lastRow="0" w:firstColumn="1" w:lastColumn="0" w:noHBand="0" w:noVBand="1"/>
      </w:tblPr>
      <w:tblGrid>
        <w:gridCol w:w="4140"/>
        <w:gridCol w:w="4140"/>
        <w:gridCol w:w="1620"/>
      </w:tblGrid>
      <w:tr w:rsidR="009E5856" w:rsidRPr="00E51A17" w:rsidTr="004E1B92">
        <w:tc>
          <w:tcPr>
            <w:tcW w:w="4140" w:type="dxa"/>
          </w:tcPr>
          <w:p w:rsidR="009E5856" w:rsidRPr="00E51A17" w:rsidRDefault="009E5856" w:rsidP="004E1B92">
            <w:pPr>
              <w:spacing w:line="276" w:lineRule="auto"/>
              <w:rPr>
                <w:b/>
              </w:rPr>
            </w:pPr>
          </w:p>
        </w:tc>
        <w:tc>
          <w:tcPr>
            <w:tcW w:w="4140" w:type="dxa"/>
          </w:tcPr>
          <w:p w:rsidR="009E5856" w:rsidRPr="00E51A17" w:rsidRDefault="009E5856" w:rsidP="004E1B92">
            <w:pPr>
              <w:spacing w:line="276" w:lineRule="auto"/>
              <w:rPr>
                <w:b/>
              </w:rPr>
            </w:pPr>
          </w:p>
        </w:tc>
        <w:tc>
          <w:tcPr>
            <w:tcW w:w="1620" w:type="dxa"/>
          </w:tcPr>
          <w:p w:rsidR="009E5856" w:rsidRPr="00E51A17" w:rsidRDefault="009E5856" w:rsidP="004E1B92">
            <w:pPr>
              <w:spacing w:line="276" w:lineRule="auto"/>
              <w:rPr>
                <w:b/>
                <w:u w:val="double"/>
              </w:rPr>
            </w:pPr>
          </w:p>
        </w:tc>
      </w:tr>
    </w:tbl>
    <w:p w:rsidR="00951A49" w:rsidRPr="00951A49" w:rsidRDefault="00951A49" w:rsidP="00951A49">
      <w:pPr>
        <w:spacing w:line="276" w:lineRule="auto"/>
      </w:pPr>
    </w:p>
    <w:p w:rsidR="00A6521E" w:rsidRDefault="00DC4F63" w:rsidP="00B52F5B">
      <w:pPr>
        <w:spacing w:line="480" w:lineRule="auto"/>
        <w:ind w:firstLine="720"/>
      </w:pPr>
      <w:r>
        <w:t>Scenario 3 shows the individual will be wealthier (i.e., have a higher ATFV) by 2.8</w:t>
      </w:r>
      <w:r w:rsidR="00D038E8">
        <w:t xml:space="preserve"> percent </w:t>
      </w:r>
      <w:r w:rsidR="00A03E94">
        <w:t>[</w:t>
      </w:r>
      <w:r>
        <w:t>($123,664 − $120,344) / $120,344</w:t>
      </w:r>
      <w:r w:rsidR="00A03E94">
        <w:t>]</w:t>
      </w:r>
      <w:r>
        <w:t xml:space="preserve"> if mostly stocks are held inside the T</w:t>
      </w:r>
      <w:r w:rsidR="00C24C80">
        <w:t>E</w:t>
      </w:r>
      <w:r>
        <w:t xml:space="preserve">A and most of the bonds are held outside in a taxable account. </w:t>
      </w:r>
      <w:r w:rsidR="00D40291">
        <w:t>As discussed in the last paragraph, e</w:t>
      </w:r>
      <w:r w:rsidR="005E25DD">
        <w:t xml:space="preserve">ffectively, more after-tax dollars can be contributed to a Roth 401(k) than to a </w:t>
      </w:r>
      <w:r w:rsidR="00373B1F">
        <w:t xml:space="preserve">traditional </w:t>
      </w:r>
      <w:r w:rsidR="005E25DD">
        <w:t xml:space="preserve">401(k) because the former allows after-tax contributions whereas the latter </w:t>
      </w:r>
      <w:r w:rsidR="00321AC1">
        <w:t xml:space="preserve">only </w:t>
      </w:r>
      <w:r w:rsidR="005E25DD">
        <w:t xml:space="preserve">allows </w:t>
      </w:r>
      <w:r w:rsidR="005E25DD">
        <w:rPr>
          <w:i/>
        </w:rPr>
        <w:t>before</w:t>
      </w:r>
      <w:r w:rsidR="005E25DD">
        <w:t>-tax contributions</w:t>
      </w:r>
      <w:r w:rsidR="00D40291">
        <w:t xml:space="preserve"> (i.e., AT$ / </w:t>
      </w:r>
      <w:proofErr w:type="gramStart"/>
      <w:r w:rsidR="00D40291" w:rsidRPr="00B131A5">
        <w:t>( 1</w:t>
      </w:r>
      <w:proofErr w:type="gramEnd"/>
      <w:r w:rsidR="00D40291" w:rsidRPr="00B131A5">
        <w:t xml:space="preserve"> – t</w:t>
      </w:r>
      <w:r w:rsidR="00D40291" w:rsidRPr="00B131A5">
        <w:rPr>
          <w:vertAlign w:val="subscript"/>
        </w:rPr>
        <w:t>0</w:t>
      </w:r>
      <w:r w:rsidR="00D40291" w:rsidRPr="00B131A5">
        <w:t xml:space="preserve"> )</w:t>
      </w:r>
      <w:r w:rsidR="00D40291">
        <w:t>)</w:t>
      </w:r>
      <w:r w:rsidR="005E25DD">
        <w:t xml:space="preserve">. </w:t>
      </w:r>
      <w:r w:rsidR="00373B1F">
        <w:t xml:space="preserve">The </w:t>
      </w:r>
      <w:r w:rsidR="00321AC1">
        <w:t xml:space="preserve">reason </w:t>
      </w:r>
      <w:r w:rsidR="00752581">
        <w:t xml:space="preserve">that </w:t>
      </w:r>
      <w:r w:rsidR="000B79CE">
        <w:t>ATFV of Stock</w:t>
      </w:r>
      <w:r w:rsidR="00932CD9">
        <w:t>s</w:t>
      </w:r>
      <w:r w:rsidR="000B79CE">
        <w:t xml:space="preserve"> In – Bond</w:t>
      </w:r>
      <w:r w:rsidR="00932CD9">
        <w:t>s</w:t>
      </w:r>
      <w:r w:rsidR="000B79CE">
        <w:t xml:space="preserve"> Out</w:t>
      </w:r>
      <w:r w:rsidR="005E25DD">
        <w:t xml:space="preserve"> </w:t>
      </w:r>
      <w:r w:rsidR="009E5856">
        <w:t>($1</w:t>
      </w:r>
      <w:r w:rsidR="00BF14E5">
        <w:t>23</w:t>
      </w:r>
      <w:r w:rsidR="009E5856">
        <w:t>,</w:t>
      </w:r>
      <w:r w:rsidR="00BF14E5">
        <w:t>664</w:t>
      </w:r>
      <w:r w:rsidR="009E5856">
        <w:t xml:space="preserve">) </w:t>
      </w:r>
      <w:r w:rsidR="005E25DD">
        <w:t>is</w:t>
      </w:r>
      <w:r w:rsidR="00EF3F43">
        <w:t xml:space="preserve"> </w:t>
      </w:r>
      <w:r w:rsidR="00BF14E5">
        <w:t xml:space="preserve">slightly </w:t>
      </w:r>
      <w:r w:rsidR="005E25DD">
        <w:t xml:space="preserve">higher than </w:t>
      </w:r>
      <w:r w:rsidR="00A2434F">
        <w:t>T</w:t>
      </w:r>
      <w:r w:rsidR="00321AC1">
        <w:t xml:space="preserve">able 1, </w:t>
      </w:r>
      <w:r w:rsidR="00D40A82">
        <w:t>s</w:t>
      </w:r>
      <w:r w:rsidR="004422B3">
        <w:t>cenario</w:t>
      </w:r>
      <w:r w:rsidR="00A6521E">
        <w:t xml:space="preserve"> </w:t>
      </w:r>
      <w:r w:rsidR="00375510">
        <w:t>1</w:t>
      </w:r>
      <w:r w:rsidR="009E5856">
        <w:t xml:space="preserve">’s </w:t>
      </w:r>
      <w:r w:rsidR="000B79CE">
        <w:t>Stock</w:t>
      </w:r>
      <w:r w:rsidR="00932CD9">
        <w:t>s</w:t>
      </w:r>
      <w:r w:rsidR="000B79CE">
        <w:t xml:space="preserve"> In – Bond</w:t>
      </w:r>
      <w:r w:rsidR="00932CD9">
        <w:t>s</w:t>
      </w:r>
      <w:r w:rsidR="000B79CE">
        <w:t xml:space="preserve"> Out</w:t>
      </w:r>
      <w:r w:rsidR="009E5856">
        <w:t xml:space="preserve"> ($1</w:t>
      </w:r>
      <w:r w:rsidR="00BF14E5">
        <w:t>2</w:t>
      </w:r>
      <w:r w:rsidR="009E5856">
        <w:t>1,</w:t>
      </w:r>
      <w:r w:rsidR="00BF14E5">
        <w:t>258</w:t>
      </w:r>
      <w:r w:rsidR="009E5856">
        <w:t>)</w:t>
      </w:r>
      <w:r w:rsidR="005E25DD">
        <w:t xml:space="preserve"> </w:t>
      </w:r>
      <w:r>
        <w:t xml:space="preserve">is </w:t>
      </w:r>
      <w:r w:rsidR="005E25DD">
        <w:t xml:space="preserve">because </w:t>
      </w:r>
      <w:r w:rsidR="000B79CE">
        <w:t xml:space="preserve">of </w:t>
      </w:r>
      <w:r w:rsidR="005E25DD">
        <w:t xml:space="preserve">the $6,250 of bonds earning </w:t>
      </w:r>
      <w:r w:rsidR="00BF14E5">
        <w:t>4</w:t>
      </w:r>
      <w:r w:rsidR="005E25DD">
        <w:t xml:space="preserve">% </w:t>
      </w:r>
      <w:r w:rsidR="000B79CE">
        <w:t xml:space="preserve">inside the Roth </w:t>
      </w:r>
      <w:r w:rsidR="005E25DD">
        <w:t xml:space="preserve">not </w:t>
      </w:r>
      <w:r w:rsidR="00373B1F">
        <w:t xml:space="preserve">being </w:t>
      </w:r>
      <w:r w:rsidR="005E25DD">
        <w:t>subject to tax</w:t>
      </w:r>
      <w:r>
        <w:t xml:space="preserve"> instead of being in the taxable account</w:t>
      </w:r>
      <w:r w:rsidR="005E25DD">
        <w:t xml:space="preserve">. </w:t>
      </w:r>
      <w:r>
        <w:t>T</w:t>
      </w:r>
      <w:r w:rsidR="00781EF2">
        <w:t>he ATFV of Bond</w:t>
      </w:r>
      <w:r w:rsidR="00932CD9">
        <w:t>s</w:t>
      </w:r>
      <w:r w:rsidR="00781EF2">
        <w:t xml:space="preserve"> In – Stock</w:t>
      </w:r>
      <w:r w:rsidR="00932CD9">
        <w:t>s</w:t>
      </w:r>
      <w:r w:rsidR="00781EF2">
        <w:t xml:space="preserve"> Out</w:t>
      </w:r>
      <w:r w:rsidR="005E25DD">
        <w:t xml:space="preserve"> </w:t>
      </w:r>
      <w:r w:rsidR="009E5856">
        <w:t>($1</w:t>
      </w:r>
      <w:r w:rsidR="00BF14E5">
        <w:t>20</w:t>
      </w:r>
      <w:r w:rsidR="009E5856">
        <w:t>,</w:t>
      </w:r>
      <w:r w:rsidR="00BF14E5">
        <w:t>344</w:t>
      </w:r>
      <w:r w:rsidR="009E5856">
        <w:t xml:space="preserve">) </w:t>
      </w:r>
      <w:r>
        <w:t xml:space="preserve">in scenario 3 </w:t>
      </w:r>
      <w:r w:rsidR="005E25DD">
        <w:t xml:space="preserve">is </w:t>
      </w:r>
      <w:r w:rsidR="00105352">
        <w:t xml:space="preserve">also </w:t>
      </w:r>
      <w:r w:rsidR="005E25DD">
        <w:t xml:space="preserve">higher than </w:t>
      </w:r>
      <w:r w:rsidR="00781EF2">
        <w:t xml:space="preserve">the ATFV of </w:t>
      </w:r>
      <w:r w:rsidR="000B79CE">
        <w:t>Bond</w:t>
      </w:r>
      <w:r w:rsidR="00932CD9">
        <w:t>s</w:t>
      </w:r>
      <w:r w:rsidR="000B79CE">
        <w:t xml:space="preserve"> In – Stock</w:t>
      </w:r>
      <w:r w:rsidR="00932CD9">
        <w:t>s</w:t>
      </w:r>
      <w:r w:rsidR="000B79CE">
        <w:t xml:space="preserve"> Out</w:t>
      </w:r>
      <w:r w:rsidR="009E5856">
        <w:t xml:space="preserve"> in</w:t>
      </w:r>
      <w:r w:rsidR="005E25DD">
        <w:t xml:space="preserve"> </w:t>
      </w:r>
      <w:r w:rsidR="00B41B48">
        <w:t>T</w:t>
      </w:r>
      <w:r>
        <w:t xml:space="preserve">able 1, </w:t>
      </w:r>
      <w:r w:rsidR="00D40A82">
        <w:t>s</w:t>
      </w:r>
      <w:r w:rsidR="004422B3">
        <w:t>cenario</w:t>
      </w:r>
      <w:r w:rsidR="005E25DD">
        <w:t xml:space="preserve"> 1</w:t>
      </w:r>
      <w:r w:rsidR="009E5856">
        <w:t xml:space="preserve"> (</w:t>
      </w:r>
      <w:r w:rsidR="000B79CE">
        <w:t>$1</w:t>
      </w:r>
      <w:r w:rsidR="00BF14E5">
        <w:t>16</w:t>
      </w:r>
      <w:r w:rsidR="000B79CE">
        <w:t>,</w:t>
      </w:r>
      <w:r w:rsidR="00BF14E5">
        <w:t>277</w:t>
      </w:r>
      <w:r w:rsidR="000B79CE">
        <w:t>)</w:t>
      </w:r>
      <w:r w:rsidR="005E25DD">
        <w:t>.</w:t>
      </w:r>
      <w:r w:rsidR="00A6521E">
        <w:t xml:space="preserve"> </w:t>
      </w:r>
      <w:r w:rsidR="005E25DD">
        <w:t xml:space="preserve">This is because the $6,250 of stock earning </w:t>
      </w:r>
      <w:r w:rsidR="00BF14E5">
        <w:t>8</w:t>
      </w:r>
      <w:r w:rsidR="005E25DD">
        <w:t>% held in</w:t>
      </w:r>
      <w:r w:rsidR="00781EF2">
        <w:t>side</w:t>
      </w:r>
      <w:r w:rsidR="005E25DD">
        <w:t xml:space="preserve"> the Roth </w:t>
      </w:r>
      <w:r w:rsidR="00373B1F">
        <w:t xml:space="preserve">401(k) </w:t>
      </w:r>
      <w:r w:rsidR="005E25DD">
        <w:t xml:space="preserve">benefits a lot by not being subject to tax when distributed in </w:t>
      </w:r>
      <w:r w:rsidR="009E5856">
        <w:t>2</w:t>
      </w:r>
      <w:r w:rsidR="005E25DD">
        <w:t>0 years.</w:t>
      </w:r>
      <w:r w:rsidR="00F72DE3">
        <w:t xml:space="preserve"> </w:t>
      </w:r>
    </w:p>
    <w:p w:rsidR="0035538F" w:rsidRPr="00DC4F63" w:rsidRDefault="0035538F" w:rsidP="0027184B">
      <w:pPr>
        <w:pStyle w:val="Title"/>
        <w:spacing w:line="480" w:lineRule="auto"/>
        <w:ind w:firstLine="720"/>
        <w:jc w:val="left"/>
        <w:rPr>
          <w:rFonts w:ascii="Times New Roman" w:hAnsi="Times New Roman"/>
          <w:b w:val="0"/>
          <w:sz w:val="24"/>
          <w:szCs w:val="24"/>
        </w:rPr>
      </w:pPr>
      <w:r w:rsidRPr="00DC4F63">
        <w:rPr>
          <w:rFonts w:ascii="Times New Roman" w:hAnsi="Times New Roman"/>
          <w:b w:val="0"/>
          <w:sz w:val="24"/>
          <w:szCs w:val="24"/>
        </w:rPr>
        <w:t xml:space="preserve">To summarize these first </w:t>
      </w:r>
      <w:r w:rsidR="00FA7DDB" w:rsidRPr="00DC4F63">
        <w:rPr>
          <w:rFonts w:ascii="Times New Roman" w:hAnsi="Times New Roman"/>
          <w:b w:val="0"/>
          <w:sz w:val="24"/>
          <w:szCs w:val="24"/>
        </w:rPr>
        <w:t>three</w:t>
      </w:r>
      <w:r w:rsidRPr="00DC4F63">
        <w:rPr>
          <w:rFonts w:ascii="Times New Roman" w:hAnsi="Times New Roman"/>
          <w:b w:val="0"/>
          <w:sz w:val="24"/>
          <w:szCs w:val="24"/>
        </w:rPr>
        <w:t xml:space="preserve"> </w:t>
      </w:r>
      <w:r w:rsidR="004422B3" w:rsidRPr="00DC4F63">
        <w:rPr>
          <w:rFonts w:ascii="Times New Roman" w:hAnsi="Times New Roman"/>
          <w:b w:val="0"/>
          <w:sz w:val="24"/>
          <w:szCs w:val="24"/>
        </w:rPr>
        <w:t>scenario</w:t>
      </w:r>
      <w:r w:rsidRPr="00DC4F63">
        <w:rPr>
          <w:rFonts w:ascii="Times New Roman" w:hAnsi="Times New Roman"/>
          <w:b w:val="0"/>
          <w:sz w:val="24"/>
          <w:szCs w:val="24"/>
        </w:rPr>
        <w:t xml:space="preserve">s, the asset that should be put into the retirement account is the one that gets the biggest advantage </w:t>
      </w:r>
      <w:r w:rsidR="00C90D86" w:rsidRPr="00DC4F63">
        <w:rPr>
          <w:rFonts w:ascii="Times New Roman" w:hAnsi="Times New Roman"/>
          <w:b w:val="0"/>
          <w:sz w:val="24"/>
          <w:szCs w:val="24"/>
        </w:rPr>
        <w:t>from</w:t>
      </w:r>
      <w:r w:rsidRPr="00DC4F63">
        <w:rPr>
          <w:rFonts w:ascii="Times New Roman" w:hAnsi="Times New Roman"/>
          <w:b w:val="0"/>
          <w:sz w:val="24"/>
          <w:szCs w:val="24"/>
        </w:rPr>
        <w:t xml:space="preserve"> being inside such account, relative to the other asset being outside such account. It turns out that the rule of thumb to always put the investment producing ordinary income into the retirement account is not always tax</w:t>
      </w:r>
      <w:r w:rsidR="000E1CED">
        <w:rPr>
          <w:rFonts w:ascii="Times New Roman" w:hAnsi="Times New Roman"/>
          <w:b w:val="0"/>
          <w:sz w:val="24"/>
          <w:szCs w:val="24"/>
        </w:rPr>
        <w:t xml:space="preserve"> </w:t>
      </w:r>
      <w:r w:rsidRPr="00DC4F63">
        <w:rPr>
          <w:rFonts w:ascii="Times New Roman" w:hAnsi="Times New Roman"/>
          <w:b w:val="0"/>
          <w:sz w:val="24"/>
          <w:szCs w:val="24"/>
        </w:rPr>
        <w:t xml:space="preserve">efficient, as </w:t>
      </w:r>
      <w:r w:rsidR="00EA1D80" w:rsidRPr="00DC4F63">
        <w:rPr>
          <w:rFonts w:ascii="Times New Roman" w:hAnsi="Times New Roman"/>
          <w:b w:val="0"/>
          <w:sz w:val="24"/>
          <w:szCs w:val="24"/>
        </w:rPr>
        <w:t xml:space="preserve">scenarios 1 through </w:t>
      </w:r>
      <w:r w:rsidR="00FA7DDB" w:rsidRPr="00DC4F63">
        <w:rPr>
          <w:rFonts w:ascii="Times New Roman" w:hAnsi="Times New Roman"/>
          <w:b w:val="0"/>
          <w:sz w:val="24"/>
          <w:szCs w:val="24"/>
        </w:rPr>
        <w:t>3</w:t>
      </w:r>
      <w:r w:rsidR="00EA1D80" w:rsidRPr="00DC4F63">
        <w:rPr>
          <w:rFonts w:ascii="Times New Roman" w:hAnsi="Times New Roman"/>
          <w:b w:val="0"/>
          <w:sz w:val="24"/>
          <w:szCs w:val="24"/>
        </w:rPr>
        <w:t xml:space="preserve"> </w:t>
      </w:r>
      <w:r w:rsidRPr="00DC4F63">
        <w:rPr>
          <w:rFonts w:ascii="Times New Roman" w:hAnsi="Times New Roman"/>
          <w:b w:val="0"/>
          <w:sz w:val="24"/>
          <w:szCs w:val="24"/>
        </w:rPr>
        <w:t>illustrate.</w:t>
      </w:r>
      <w:r w:rsidR="00DC4F63" w:rsidRPr="00DC4F63">
        <w:rPr>
          <w:rFonts w:ascii="Times New Roman" w:hAnsi="Times New Roman"/>
          <w:b w:val="0"/>
          <w:sz w:val="24"/>
        </w:rPr>
        <w:t xml:space="preserve"> </w:t>
      </w:r>
      <w:r w:rsidR="00DC4F63">
        <w:rPr>
          <w:rFonts w:ascii="Times New Roman" w:hAnsi="Times New Roman"/>
          <w:b w:val="0"/>
          <w:sz w:val="24"/>
        </w:rPr>
        <w:t xml:space="preserve">Instead, the analysis thus far in this article is consistent with </w:t>
      </w:r>
      <w:r w:rsidR="00013D9D">
        <w:rPr>
          <w:rFonts w:ascii="Times New Roman" w:hAnsi="Times New Roman"/>
          <w:b w:val="0"/>
          <w:sz w:val="24"/>
        </w:rPr>
        <w:t xml:space="preserve">the situation in which </w:t>
      </w:r>
      <w:r w:rsidR="00DC4F63">
        <w:rPr>
          <w:rFonts w:ascii="Times New Roman" w:hAnsi="Times New Roman"/>
          <w:b w:val="0"/>
          <w:sz w:val="24"/>
        </w:rPr>
        <w:t>an individual contributes the maximum to his or her 401(k) retirement account each year and invest</w:t>
      </w:r>
      <w:r w:rsidR="00013D9D">
        <w:rPr>
          <w:rFonts w:ascii="Times New Roman" w:hAnsi="Times New Roman"/>
          <w:b w:val="0"/>
          <w:sz w:val="24"/>
        </w:rPr>
        <w:t>s</w:t>
      </w:r>
      <w:r w:rsidR="00DC4F63">
        <w:rPr>
          <w:rFonts w:ascii="Times New Roman" w:hAnsi="Times New Roman"/>
          <w:b w:val="0"/>
          <w:sz w:val="24"/>
        </w:rPr>
        <w:t xml:space="preserve"> in stocks inside the retirement account and bonds, other than high-yield (i.e., junk) bonds, in his or her taxable account, maximizing his or her after-tax wealth given the relatively low rate of return (4%) on investment</w:t>
      </w:r>
      <w:r w:rsidR="00B41B48">
        <w:rPr>
          <w:rFonts w:ascii="Times New Roman" w:hAnsi="Times New Roman"/>
          <w:b w:val="0"/>
          <w:sz w:val="24"/>
        </w:rPr>
        <w:t>-</w:t>
      </w:r>
      <w:r w:rsidR="00DC4F63">
        <w:rPr>
          <w:rFonts w:ascii="Times New Roman" w:hAnsi="Times New Roman"/>
          <w:b w:val="0"/>
          <w:sz w:val="24"/>
        </w:rPr>
        <w:t xml:space="preserve">grade taxable bonds relative to the return on </w:t>
      </w:r>
      <w:r w:rsidR="00DC4F63" w:rsidRPr="00DC4F63">
        <w:rPr>
          <w:rFonts w:ascii="Times New Roman" w:hAnsi="Times New Roman"/>
          <w:b w:val="0"/>
          <w:sz w:val="24"/>
          <w:szCs w:val="24"/>
        </w:rPr>
        <w:t>stocks (8%)</w:t>
      </w:r>
      <w:r w:rsidR="00C24C80">
        <w:rPr>
          <w:rFonts w:ascii="Times New Roman" w:hAnsi="Times New Roman"/>
          <w:b w:val="0"/>
          <w:sz w:val="24"/>
          <w:szCs w:val="24"/>
        </w:rPr>
        <w:t xml:space="preserve"> assumed thus far</w:t>
      </w:r>
      <w:r w:rsidR="00DC4F63" w:rsidRPr="00DC4F63">
        <w:rPr>
          <w:rFonts w:ascii="Times New Roman" w:hAnsi="Times New Roman"/>
          <w:b w:val="0"/>
          <w:sz w:val="24"/>
          <w:szCs w:val="24"/>
        </w:rPr>
        <w:t>.</w:t>
      </w:r>
    </w:p>
    <w:p w:rsidR="00EA1D80" w:rsidRDefault="00EA1D80" w:rsidP="0027184B">
      <w:pPr>
        <w:spacing w:line="480" w:lineRule="auto"/>
      </w:pPr>
    </w:p>
    <w:p w:rsidR="00E553C3" w:rsidRDefault="00E553C3" w:rsidP="0027184B">
      <w:pPr>
        <w:spacing w:line="480" w:lineRule="auto"/>
        <w:rPr>
          <w:b/>
        </w:rPr>
      </w:pPr>
      <w:r>
        <w:rPr>
          <w:b/>
        </w:rPr>
        <w:t>Repeat</w:t>
      </w:r>
      <w:r w:rsidR="00F22E69">
        <w:rPr>
          <w:b/>
        </w:rPr>
        <w:t>ing</w:t>
      </w:r>
      <w:r>
        <w:rPr>
          <w:b/>
        </w:rPr>
        <w:t xml:space="preserve"> the Comparisons Assuming Higher Tax Rates</w:t>
      </w:r>
    </w:p>
    <w:p w:rsidR="00E553C3" w:rsidRDefault="00E553C3" w:rsidP="0027184B">
      <w:pPr>
        <w:spacing w:line="480" w:lineRule="auto"/>
      </w:pPr>
    </w:p>
    <w:p w:rsidR="00D85E86" w:rsidRDefault="00E553C3" w:rsidP="00B52F5B">
      <w:pPr>
        <w:spacing w:line="480" w:lineRule="auto"/>
        <w:ind w:firstLine="720"/>
      </w:pPr>
      <w:r>
        <w:t xml:space="preserve">It is unusual for an individual or </w:t>
      </w:r>
      <w:r w:rsidR="000E1CED">
        <w:t xml:space="preserve">a </w:t>
      </w:r>
      <w:r>
        <w:t xml:space="preserve">married couple in the 10% or 15% </w:t>
      </w:r>
      <w:r w:rsidR="00921BCE">
        <w:t xml:space="preserve">ordinary </w:t>
      </w:r>
      <w:r>
        <w:t xml:space="preserve">tax </w:t>
      </w:r>
      <w:r w:rsidR="00921BCE">
        <w:t xml:space="preserve">rate </w:t>
      </w:r>
      <w:r>
        <w:t xml:space="preserve">bracket to have enough income </w:t>
      </w:r>
      <w:r w:rsidR="000E1CED">
        <w:t xml:space="preserve">so </w:t>
      </w:r>
      <w:r>
        <w:t>that they can both invest the maximum allowed into their retirement account(s) and also invest some money into taxable accounts. In contrast, it is common</w:t>
      </w:r>
      <w:r w:rsidR="008A4B6E">
        <w:t xml:space="preserve"> if they are in the </w:t>
      </w:r>
      <w:r w:rsidR="00921BCE">
        <w:t xml:space="preserve">25%, </w:t>
      </w:r>
      <w:r w:rsidR="008A4B6E">
        <w:t>28%, 33%, or 39.6% tax bracket.</w:t>
      </w:r>
      <w:r w:rsidR="00C24C80">
        <w:rPr>
          <w:rStyle w:val="EndnoteReference"/>
        </w:rPr>
        <w:endnoteReference w:id="17"/>
      </w:r>
      <w:r w:rsidR="008A4B6E">
        <w:t xml:space="preserve"> Next, scenario 1 will be rerun </w:t>
      </w:r>
      <w:r w:rsidR="00DC4F63">
        <w:t xml:space="preserve">exchanging t = 25% and g = 15% from </w:t>
      </w:r>
      <w:r w:rsidR="000E1CED">
        <w:t>T</w:t>
      </w:r>
      <w:r w:rsidR="00DC4F63">
        <w:t>able 1 with three new sets of tax rates (i.e., t = 28% and g = 15%; t = 36.8% and g = 18.8%; and t = 43.4% and g = 23.8%)</w:t>
      </w:r>
      <w:r w:rsidR="000E1CED">
        <w:t>,</w:t>
      </w:r>
      <w:r w:rsidR="00DC4F63">
        <w:t xml:space="preserve"> </w:t>
      </w:r>
      <w:r w:rsidR="008A4B6E">
        <w:t xml:space="preserve">but first the </w:t>
      </w:r>
      <w:r w:rsidR="00DC4F63">
        <w:t xml:space="preserve">new </w:t>
      </w:r>
      <w:r w:rsidR="008A4B6E">
        <w:t xml:space="preserve">tax rates </w:t>
      </w:r>
      <w:r w:rsidR="00DC4F63">
        <w:t xml:space="preserve">will </w:t>
      </w:r>
      <w:r w:rsidR="008A4B6E">
        <w:t xml:space="preserve">be explained. </w:t>
      </w:r>
      <w:r w:rsidR="00CA41A9">
        <w:t xml:space="preserve">The first set of tax rates, with t = 28%, assumes </w:t>
      </w:r>
      <w:r w:rsidR="000E1CED">
        <w:t xml:space="preserve">that </w:t>
      </w:r>
      <w:r w:rsidR="00CA41A9">
        <w:t>the taxpayer</w:t>
      </w:r>
      <w:r w:rsidR="000E1CED">
        <w:t xml:space="preserve"> is</w:t>
      </w:r>
      <w:r w:rsidR="00CA41A9">
        <w:t xml:space="preserve"> in the next higher (above 25%) tax rate bracket and the 3.8% </w:t>
      </w:r>
      <w:r w:rsidR="00CD02AA">
        <w:t>M</w:t>
      </w:r>
      <w:r w:rsidR="00CA41A9">
        <w:t xml:space="preserve">edicare surtax on unearned income does not apply. </w:t>
      </w:r>
      <w:r w:rsidR="00187B87">
        <w:t>The surtax can, but</w:t>
      </w:r>
      <w:r w:rsidR="00CA41A9">
        <w:t xml:space="preserve"> generally does not</w:t>
      </w:r>
      <w:r w:rsidR="00187B87">
        <w:t>,</w:t>
      </w:r>
      <w:r w:rsidR="00CA41A9">
        <w:t xml:space="preserve"> apply to such taxpayers. The second set of tax rates assumes </w:t>
      </w:r>
      <w:r w:rsidR="000E1CED">
        <w:t xml:space="preserve">that </w:t>
      </w:r>
      <w:r w:rsidR="00CA41A9">
        <w:t xml:space="preserve">the </w:t>
      </w:r>
      <w:r w:rsidR="008A4B6E">
        <w:t xml:space="preserve">33% ordinary tax rate </w:t>
      </w:r>
      <w:r w:rsidR="00CA41A9">
        <w:t xml:space="preserve">is </w:t>
      </w:r>
      <w:r w:rsidR="008A4B6E">
        <w:t xml:space="preserve">added together with the 3.8% </w:t>
      </w:r>
      <w:r w:rsidR="00CD02AA">
        <w:t>M</w:t>
      </w:r>
      <w:r w:rsidR="008A4B6E">
        <w:t>edicare surtax on interest income that applies when adjusted gross income is over $200,000 for an individual taxpayer filing singl</w:t>
      </w:r>
      <w:r w:rsidR="00F0570C">
        <w:t>e</w:t>
      </w:r>
      <w:r w:rsidR="008A4B6E">
        <w:t xml:space="preserve"> and over $250,000 if married filing jointly.</w:t>
      </w:r>
      <w:r w:rsidR="008A4B6E">
        <w:rPr>
          <w:rStyle w:val="EndnoteReference"/>
        </w:rPr>
        <w:endnoteReference w:id="18"/>
      </w:r>
      <w:r w:rsidR="008A4B6E">
        <w:t xml:space="preserve"> Given such ordinary tax rate, the long-term capital gain and qualified dividend income tax rate is 18.8% (i.e., </w:t>
      </w:r>
      <w:r w:rsidR="00CA41A9">
        <w:t xml:space="preserve">the </w:t>
      </w:r>
      <w:r w:rsidR="008A4B6E">
        <w:t xml:space="preserve">15% </w:t>
      </w:r>
      <w:r w:rsidR="00212149">
        <w:t>favorable</w:t>
      </w:r>
      <w:r w:rsidR="008A4B6E">
        <w:t xml:space="preserve"> tax rate added together with the 3.8% </w:t>
      </w:r>
      <w:r w:rsidR="00CD02AA">
        <w:t>M</w:t>
      </w:r>
      <w:r w:rsidR="008A4B6E">
        <w:t xml:space="preserve">edicare surtax). </w:t>
      </w:r>
      <w:r w:rsidR="00CA41A9">
        <w:t xml:space="preserve">In reality, </w:t>
      </w:r>
      <w:r w:rsidR="00187B87">
        <w:t xml:space="preserve">the </w:t>
      </w:r>
      <w:r w:rsidR="00CA41A9">
        <w:t xml:space="preserve">surtax </w:t>
      </w:r>
      <w:r w:rsidR="00187B87">
        <w:t xml:space="preserve">almost always </w:t>
      </w:r>
      <w:r w:rsidR="00CA41A9">
        <w:t xml:space="preserve">applies to such taxpayers. The third set of tax rates assumes that both the 39.6% ordinary tax rate and the 20% </w:t>
      </w:r>
      <w:r w:rsidR="00212149">
        <w:t>favorable</w:t>
      </w:r>
      <w:r w:rsidR="00CA41A9">
        <w:t xml:space="preserve"> tax rate are added together with the 3.8% </w:t>
      </w:r>
      <w:r w:rsidR="00CD02AA">
        <w:t>M</w:t>
      </w:r>
      <w:r w:rsidR="00CA41A9">
        <w:t>edicare surtax, which is always the case</w:t>
      </w:r>
      <w:r w:rsidR="00187B87">
        <w:t xml:space="preserve"> when taxable income is this high</w:t>
      </w:r>
      <w:r w:rsidR="00CA41A9">
        <w:t xml:space="preserve">. Table 3 reruns scenario 1 with these three new sets of tax rates, and </w:t>
      </w:r>
      <w:r w:rsidR="00B37FB1">
        <w:t xml:space="preserve">also reruns </w:t>
      </w:r>
      <w:r w:rsidR="00CA41A9">
        <w:t>scenario 2</w:t>
      </w:r>
      <w:r w:rsidR="00B37FB1">
        <w:t>,</w:t>
      </w:r>
      <w:r w:rsidR="00CA41A9">
        <w:t xml:space="preserve"> again assuming the taxpayer drops into the next lower </w:t>
      </w:r>
      <w:r w:rsidR="00B37FB1">
        <w:t xml:space="preserve">set of </w:t>
      </w:r>
      <w:r w:rsidR="00CA41A9">
        <w:t>tax rate</w:t>
      </w:r>
      <w:r w:rsidR="000A7170">
        <w:t xml:space="preserve"> brackets</w:t>
      </w:r>
      <w:r w:rsidR="00CA41A9">
        <w:t xml:space="preserve"> </w:t>
      </w:r>
      <w:r w:rsidR="008E2935">
        <w:t>as a result of</w:t>
      </w:r>
      <w:r w:rsidR="00CA41A9">
        <w:t xml:space="preserve"> retirement</w:t>
      </w:r>
      <w:r w:rsidR="00774FA4">
        <w:t>.</w:t>
      </w:r>
    </w:p>
    <w:p w:rsidR="00D85E86" w:rsidRDefault="00D85E86">
      <w:pPr>
        <w:spacing w:after="200" w:line="276" w:lineRule="auto"/>
      </w:pPr>
      <w:r>
        <w:br w:type="page"/>
      </w:r>
    </w:p>
    <w:p w:rsidR="00E553C3" w:rsidRDefault="00E553C3" w:rsidP="00B52F5B">
      <w:pPr>
        <w:spacing w:line="480" w:lineRule="auto"/>
        <w:ind w:firstLine="720"/>
      </w:pPr>
    </w:p>
    <w:p w:rsidR="008A4B6E" w:rsidRDefault="00F32A22" w:rsidP="0032114B">
      <w:pPr>
        <w:spacing w:line="276" w:lineRule="auto"/>
        <w:jc w:val="center"/>
        <w:rPr>
          <w:b/>
        </w:rPr>
      </w:pPr>
      <w:r w:rsidRPr="004422B3">
        <w:rPr>
          <w:b/>
        </w:rPr>
        <w:t xml:space="preserve">Table </w:t>
      </w:r>
      <w:r>
        <w:rPr>
          <w:b/>
        </w:rPr>
        <w:t>3</w:t>
      </w:r>
    </w:p>
    <w:p w:rsidR="00F32A22" w:rsidRDefault="00F32A22" w:rsidP="0032114B">
      <w:pPr>
        <w:spacing w:line="276" w:lineRule="auto"/>
        <w:jc w:val="center"/>
      </w:pPr>
    </w:p>
    <w:tbl>
      <w:tblPr>
        <w:tblStyle w:val="TableGrid"/>
        <w:tblW w:w="0" w:type="auto"/>
        <w:tblLook w:val="04A0" w:firstRow="1" w:lastRow="0" w:firstColumn="1" w:lastColumn="0" w:noHBand="0" w:noVBand="1"/>
      </w:tblPr>
      <w:tblGrid>
        <w:gridCol w:w="1655"/>
        <w:gridCol w:w="1314"/>
        <w:gridCol w:w="1343"/>
        <w:gridCol w:w="1316"/>
        <w:gridCol w:w="1316"/>
        <w:gridCol w:w="1316"/>
        <w:gridCol w:w="1316"/>
      </w:tblGrid>
      <w:tr w:rsidR="000C5AB4" w:rsidTr="00407AC3">
        <w:tc>
          <w:tcPr>
            <w:tcW w:w="1655" w:type="dxa"/>
            <w:tcBorders>
              <w:right w:val="single" w:sz="12" w:space="0" w:color="auto"/>
            </w:tcBorders>
          </w:tcPr>
          <w:p w:rsidR="00407AC3" w:rsidRPr="004422B3" w:rsidRDefault="00407AC3" w:rsidP="00721BE5">
            <w:pPr>
              <w:spacing w:after="200" w:line="276" w:lineRule="auto"/>
              <w:rPr>
                <w:b/>
              </w:rPr>
            </w:pPr>
          </w:p>
        </w:tc>
        <w:tc>
          <w:tcPr>
            <w:tcW w:w="1314" w:type="dxa"/>
            <w:tcBorders>
              <w:left w:val="single" w:sz="12" w:space="0" w:color="auto"/>
            </w:tcBorders>
          </w:tcPr>
          <w:p w:rsidR="00407AC3" w:rsidRPr="00F0570C" w:rsidRDefault="00407AC3" w:rsidP="00721BE5">
            <w:pPr>
              <w:spacing w:after="200" w:line="276" w:lineRule="auto"/>
              <w:jc w:val="center"/>
              <w:rPr>
                <w:b/>
                <w:u w:val="single"/>
              </w:rPr>
            </w:pPr>
            <w:r w:rsidRPr="00F0570C">
              <w:rPr>
                <w:b/>
                <w:u w:val="single"/>
              </w:rPr>
              <w:t xml:space="preserve">Scenario 1 </w:t>
            </w:r>
          </w:p>
        </w:tc>
        <w:tc>
          <w:tcPr>
            <w:tcW w:w="1343" w:type="dxa"/>
            <w:tcBorders>
              <w:left w:val="single" w:sz="12" w:space="0" w:color="auto"/>
            </w:tcBorders>
          </w:tcPr>
          <w:p w:rsidR="00407AC3" w:rsidRPr="00F0570C" w:rsidRDefault="00407AC3" w:rsidP="00721BE5">
            <w:pPr>
              <w:spacing w:after="200" w:line="276" w:lineRule="auto"/>
              <w:jc w:val="center"/>
              <w:rPr>
                <w:b/>
                <w:u w:val="single"/>
              </w:rPr>
            </w:pPr>
            <w:r w:rsidRPr="00F0570C">
              <w:rPr>
                <w:b/>
                <w:u w:val="single"/>
              </w:rPr>
              <w:t xml:space="preserve">Scenario 2 </w:t>
            </w:r>
          </w:p>
        </w:tc>
        <w:tc>
          <w:tcPr>
            <w:tcW w:w="1316" w:type="dxa"/>
            <w:tcBorders>
              <w:left w:val="single" w:sz="12" w:space="0" w:color="auto"/>
            </w:tcBorders>
          </w:tcPr>
          <w:p w:rsidR="00407AC3" w:rsidRPr="00F0570C" w:rsidRDefault="00407AC3" w:rsidP="00721BE5">
            <w:pPr>
              <w:spacing w:after="200" w:line="276" w:lineRule="auto"/>
              <w:jc w:val="center"/>
              <w:rPr>
                <w:b/>
                <w:u w:val="single"/>
              </w:rPr>
            </w:pPr>
            <w:r w:rsidRPr="00F0570C">
              <w:rPr>
                <w:b/>
                <w:u w:val="single"/>
              </w:rPr>
              <w:t xml:space="preserve">Scenario 1 </w:t>
            </w:r>
          </w:p>
        </w:tc>
        <w:tc>
          <w:tcPr>
            <w:tcW w:w="1316" w:type="dxa"/>
            <w:tcBorders>
              <w:left w:val="single" w:sz="12" w:space="0" w:color="auto"/>
            </w:tcBorders>
          </w:tcPr>
          <w:p w:rsidR="00407AC3" w:rsidRPr="00F0570C" w:rsidRDefault="00407AC3" w:rsidP="00721BE5">
            <w:pPr>
              <w:spacing w:after="200" w:line="276" w:lineRule="auto"/>
              <w:jc w:val="center"/>
              <w:rPr>
                <w:b/>
                <w:u w:val="single"/>
              </w:rPr>
            </w:pPr>
            <w:r w:rsidRPr="00F0570C">
              <w:rPr>
                <w:b/>
                <w:u w:val="single"/>
              </w:rPr>
              <w:t xml:space="preserve">Scenario 2 </w:t>
            </w:r>
          </w:p>
        </w:tc>
        <w:tc>
          <w:tcPr>
            <w:tcW w:w="1316" w:type="dxa"/>
            <w:tcBorders>
              <w:left w:val="single" w:sz="12" w:space="0" w:color="auto"/>
            </w:tcBorders>
          </w:tcPr>
          <w:p w:rsidR="00407AC3" w:rsidRPr="00F0570C" w:rsidRDefault="00407AC3" w:rsidP="00721BE5">
            <w:pPr>
              <w:spacing w:after="200" w:line="276" w:lineRule="auto"/>
              <w:jc w:val="center"/>
              <w:rPr>
                <w:b/>
                <w:u w:val="single"/>
              </w:rPr>
            </w:pPr>
            <w:r w:rsidRPr="00F0570C">
              <w:rPr>
                <w:b/>
                <w:u w:val="single"/>
              </w:rPr>
              <w:t xml:space="preserve">Scenario 1 </w:t>
            </w:r>
          </w:p>
        </w:tc>
        <w:tc>
          <w:tcPr>
            <w:tcW w:w="1316" w:type="dxa"/>
            <w:tcBorders>
              <w:left w:val="single" w:sz="12" w:space="0" w:color="auto"/>
            </w:tcBorders>
          </w:tcPr>
          <w:p w:rsidR="00407AC3" w:rsidRPr="00F0570C" w:rsidRDefault="00407AC3" w:rsidP="00721BE5">
            <w:pPr>
              <w:spacing w:after="200" w:line="276" w:lineRule="auto"/>
              <w:jc w:val="center"/>
              <w:rPr>
                <w:b/>
                <w:u w:val="single"/>
              </w:rPr>
            </w:pPr>
            <w:r w:rsidRPr="00F0570C">
              <w:rPr>
                <w:b/>
                <w:u w:val="single"/>
              </w:rPr>
              <w:t xml:space="preserve">Scenario 2 </w:t>
            </w:r>
          </w:p>
        </w:tc>
      </w:tr>
      <w:tr w:rsidR="000C5AB4" w:rsidTr="00407AC3">
        <w:tc>
          <w:tcPr>
            <w:tcW w:w="1655" w:type="dxa"/>
            <w:tcBorders>
              <w:right w:val="single" w:sz="12" w:space="0" w:color="auto"/>
            </w:tcBorders>
          </w:tcPr>
          <w:p w:rsidR="00407AC3" w:rsidRDefault="00407AC3" w:rsidP="00721BE5">
            <w:pPr>
              <w:spacing w:after="200" w:line="276" w:lineRule="auto"/>
              <w:jc w:val="center"/>
            </w:pPr>
            <w:r>
              <w:t>t</w:t>
            </w:r>
          </w:p>
        </w:tc>
        <w:tc>
          <w:tcPr>
            <w:tcW w:w="1314" w:type="dxa"/>
            <w:tcBorders>
              <w:left w:val="single" w:sz="12" w:space="0" w:color="auto"/>
            </w:tcBorders>
          </w:tcPr>
          <w:p w:rsidR="00407AC3" w:rsidRDefault="00407AC3" w:rsidP="00721BE5">
            <w:pPr>
              <w:spacing w:after="200" w:line="276" w:lineRule="auto"/>
              <w:jc w:val="center"/>
            </w:pPr>
            <w:r>
              <w:t>28%</w:t>
            </w:r>
          </w:p>
        </w:tc>
        <w:tc>
          <w:tcPr>
            <w:tcW w:w="1343" w:type="dxa"/>
            <w:tcBorders>
              <w:left w:val="single" w:sz="12" w:space="0" w:color="auto"/>
            </w:tcBorders>
          </w:tcPr>
          <w:p w:rsidR="00407AC3" w:rsidRDefault="00407AC3" w:rsidP="00721BE5">
            <w:pPr>
              <w:spacing w:after="200" w:line="276" w:lineRule="auto"/>
              <w:jc w:val="center"/>
            </w:pPr>
            <w:r>
              <w:t>28%</w:t>
            </w:r>
          </w:p>
        </w:tc>
        <w:tc>
          <w:tcPr>
            <w:tcW w:w="1316" w:type="dxa"/>
            <w:tcBorders>
              <w:left w:val="single" w:sz="12" w:space="0" w:color="auto"/>
            </w:tcBorders>
          </w:tcPr>
          <w:p w:rsidR="00407AC3" w:rsidRDefault="00407AC3" w:rsidP="00721BE5">
            <w:pPr>
              <w:spacing w:after="200" w:line="276" w:lineRule="auto"/>
              <w:jc w:val="center"/>
            </w:pPr>
            <w:r>
              <w:t>36.8%</w:t>
            </w:r>
          </w:p>
        </w:tc>
        <w:tc>
          <w:tcPr>
            <w:tcW w:w="1316" w:type="dxa"/>
            <w:tcBorders>
              <w:left w:val="single" w:sz="12" w:space="0" w:color="auto"/>
            </w:tcBorders>
          </w:tcPr>
          <w:p w:rsidR="00407AC3" w:rsidRDefault="00407AC3" w:rsidP="00721BE5">
            <w:pPr>
              <w:spacing w:after="200" w:line="276" w:lineRule="auto"/>
              <w:jc w:val="center"/>
            </w:pPr>
            <w:r>
              <w:t>36.8%</w:t>
            </w:r>
          </w:p>
        </w:tc>
        <w:tc>
          <w:tcPr>
            <w:tcW w:w="1316" w:type="dxa"/>
            <w:tcBorders>
              <w:left w:val="single" w:sz="12" w:space="0" w:color="auto"/>
            </w:tcBorders>
          </w:tcPr>
          <w:p w:rsidR="00407AC3" w:rsidRDefault="00407AC3" w:rsidP="00721BE5">
            <w:pPr>
              <w:spacing w:after="200" w:line="276" w:lineRule="auto"/>
              <w:jc w:val="center"/>
            </w:pPr>
            <w:r>
              <w:t>43.4%</w:t>
            </w:r>
          </w:p>
        </w:tc>
        <w:tc>
          <w:tcPr>
            <w:tcW w:w="1316" w:type="dxa"/>
            <w:tcBorders>
              <w:left w:val="single" w:sz="12" w:space="0" w:color="auto"/>
            </w:tcBorders>
          </w:tcPr>
          <w:p w:rsidR="00407AC3" w:rsidRDefault="00407AC3" w:rsidP="00721BE5">
            <w:pPr>
              <w:spacing w:after="200" w:line="276" w:lineRule="auto"/>
              <w:jc w:val="center"/>
            </w:pPr>
            <w:r>
              <w:t>43.4%</w:t>
            </w:r>
          </w:p>
        </w:tc>
      </w:tr>
      <w:tr w:rsidR="000C5AB4" w:rsidTr="00407AC3">
        <w:tc>
          <w:tcPr>
            <w:tcW w:w="1655" w:type="dxa"/>
            <w:tcBorders>
              <w:right w:val="single" w:sz="12" w:space="0" w:color="auto"/>
            </w:tcBorders>
          </w:tcPr>
          <w:p w:rsidR="00407AC3" w:rsidRDefault="00407AC3" w:rsidP="00721BE5">
            <w:pPr>
              <w:spacing w:after="200" w:line="276" w:lineRule="auto"/>
              <w:jc w:val="center"/>
            </w:pPr>
            <w:r>
              <w:t>g</w:t>
            </w:r>
          </w:p>
        </w:tc>
        <w:tc>
          <w:tcPr>
            <w:tcW w:w="1314" w:type="dxa"/>
            <w:tcBorders>
              <w:left w:val="single" w:sz="12" w:space="0" w:color="auto"/>
            </w:tcBorders>
          </w:tcPr>
          <w:p w:rsidR="00407AC3" w:rsidRDefault="00407AC3" w:rsidP="00721BE5">
            <w:pPr>
              <w:spacing w:after="200" w:line="276" w:lineRule="auto"/>
              <w:jc w:val="center"/>
            </w:pPr>
            <w:r>
              <w:t>15%</w:t>
            </w:r>
          </w:p>
        </w:tc>
        <w:tc>
          <w:tcPr>
            <w:tcW w:w="1343" w:type="dxa"/>
            <w:tcBorders>
              <w:left w:val="single" w:sz="12" w:space="0" w:color="auto"/>
            </w:tcBorders>
          </w:tcPr>
          <w:p w:rsidR="00407AC3" w:rsidRDefault="00407AC3" w:rsidP="00721BE5">
            <w:pPr>
              <w:spacing w:after="200" w:line="276" w:lineRule="auto"/>
              <w:jc w:val="center"/>
            </w:pPr>
            <w:r>
              <w:t>15%</w:t>
            </w:r>
          </w:p>
        </w:tc>
        <w:tc>
          <w:tcPr>
            <w:tcW w:w="1316" w:type="dxa"/>
            <w:tcBorders>
              <w:left w:val="single" w:sz="12" w:space="0" w:color="auto"/>
            </w:tcBorders>
          </w:tcPr>
          <w:p w:rsidR="00407AC3" w:rsidRDefault="00407AC3" w:rsidP="00721BE5">
            <w:pPr>
              <w:spacing w:after="200" w:line="276" w:lineRule="auto"/>
              <w:jc w:val="center"/>
            </w:pPr>
            <w:r>
              <w:t>18.8%</w:t>
            </w:r>
          </w:p>
        </w:tc>
        <w:tc>
          <w:tcPr>
            <w:tcW w:w="1316" w:type="dxa"/>
            <w:tcBorders>
              <w:left w:val="single" w:sz="12" w:space="0" w:color="auto"/>
            </w:tcBorders>
          </w:tcPr>
          <w:p w:rsidR="00407AC3" w:rsidRDefault="00407AC3" w:rsidP="00721BE5">
            <w:pPr>
              <w:spacing w:after="200" w:line="276" w:lineRule="auto"/>
              <w:jc w:val="center"/>
            </w:pPr>
            <w:r>
              <w:t>18.8%</w:t>
            </w:r>
          </w:p>
        </w:tc>
        <w:tc>
          <w:tcPr>
            <w:tcW w:w="1316" w:type="dxa"/>
            <w:tcBorders>
              <w:left w:val="single" w:sz="12" w:space="0" w:color="auto"/>
            </w:tcBorders>
          </w:tcPr>
          <w:p w:rsidR="00407AC3" w:rsidRDefault="00407AC3" w:rsidP="00721BE5">
            <w:pPr>
              <w:spacing w:after="200" w:line="276" w:lineRule="auto"/>
              <w:jc w:val="center"/>
            </w:pPr>
            <w:r>
              <w:t>23.8%</w:t>
            </w:r>
          </w:p>
        </w:tc>
        <w:tc>
          <w:tcPr>
            <w:tcW w:w="1316" w:type="dxa"/>
            <w:tcBorders>
              <w:left w:val="single" w:sz="12" w:space="0" w:color="auto"/>
            </w:tcBorders>
          </w:tcPr>
          <w:p w:rsidR="00407AC3" w:rsidRDefault="00407AC3" w:rsidP="00721BE5">
            <w:pPr>
              <w:spacing w:after="200" w:line="276" w:lineRule="auto"/>
              <w:jc w:val="center"/>
            </w:pPr>
            <w:r>
              <w:t>23.8%</w:t>
            </w:r>
          </w:p>
        </w:tc>
      </w:tr>
      <w:tr w:rsidR="000C5AB4" w:rsidTr="00407AC3">
        <w:tc>
          <w:tcPr>
            <w:tcW w:w="1655" w:type="dxa"/>
            <w:tcBorders>
              <w:right w:val="single" w:sz="12" w:space="0" w:color="auto"/>
            </w:tcBorders>
          </w:tcPr>
          <w:p w:rsidR="00407AC3" w:rsidRDefault="00407AC3" w:rsidP="00721BE5">
            <w:pPr>
              <w:spacing w:after="200" w:line="276" w:lineRule="auto"/>
              <w:jc w:val="center"/>
            </w:pPr>
            <w:r>
              <w:t>t</w:t>
            </w:r>
            <w:r>
              <w:rPr>
                <w:vertAlign w:val="subscript"/>
              </w:rPr>
              <w:t>n</w:t>
            </w:r>
          </w:p>
        </w:tc>
        <w:tc>
          <w:tcPr>
            <w:tcW w:w="1314" w:type="dxa"/>
            <w:tcBorders>
              <w:left w:val="single" w:sz="12" w:space="0" w:color="auto"/>
            </w:tcBorders>
          </w:tcPr>
          <w:p w:rsidR="00407AC3" w:rsidRDefault="00407AC3" w:rsidP="00721BE5">
            <w:pPr>
              <w:spacing w:after="200" w:line="276" w:lineRule="auto"/>
              <w:jc w:val="center"/>
            </w:pPr>
            <w:r>
              <w:t>28%</w:t>
            </w:r>
          </w:p>
        </w:tc>
        <w:tc>
          <w:tcPr>
            <w:tcW w:w="1343" w:type="dxa"/>
            <w:tcBorders>
              <w:left w:val="single" w:sz="12" w:space="0" w:color="auto"/>
            </w:tcBorders>
          </w:tcPr>
          <w:p w:rsidR="00407AC3" w:rsidRPr="00F0570C" w:rsidRDefault="00407AC3" w:rsidP="00721BE5">
            <w:pPr>
              <w:spacing w:after="200" w:line="276" w:lineRule="auto"/>
              <w:jc w:val="center"/>
            </w:pPr>
            <w:r w:rsidRPr="00F0570C">
              <w:t>25%</w:t>
            </w:r>
          </w:p>
        </w:tc>
        <w:tc>
          <w:tcPr>
            <w:tcW w:w="1316" w:type="dxa"/>
            <w:tcBorders>
              <w:left w:val="single" w:sz="12" w:space="0" w:color="auto"/>
            </w:tcBorders>
          </w:tcPr>
          <w:p w:rsidR="00407AC3" w:rsidRDefault="00407AC3" w:rsidP="00721BE5">
            <w:pPr>
              <w:spacing w:after="200" w:line="276" w:lineRule="auto"/>
              <w:jc w:val="center"/>
            </w:pPr>
            <w:r>
              <w:t>36.8%</w:t>
            </w:r>
          </w:p>
        </w:tc>
        <w:tc>
          <w:tcPr>
            <w:tcW w:w="1316" w:type="dxa"/>
            <w:tcBorders>
              <w:left w:val="single" w:sz="12" w:space="0" w:color="auto"/>
            </w:tcBorders>
          </w:tcPr>
          <w:p w:rsidR="00407AC3" w:rsidRPr="00F0570C" w:rsidRDefault="00407AC3" w:rsidP="00721BE5">
            <w:pPr>
              <w:spacing w:after="200" w:line="276" w:lineRule="auto"/>
              <w:jc w:val="center"/>
            </w:pPr>
            <w:r w:rsidRPr="00F0570C">
              <w:t>28%</w:t>
            </w:r>
          </w:p>
        </w:tc>
        <w:tc>
          <w:tcPr>
            <w:tcW w:w="1316" w:type="dxa"/>
            <w:tcBorders>
              <w:left w:val="single" w:sz="12" w:space="0" w:color="auto"/>
            </w:tcBorders>
          </w:tcPr>
          <w:p w:rsidR="00407AC3" w:rsidRDefault="00407AC3" w:rsidP="00721BE5">
            <w:pPr>
              <w:spacing w:after="200" w:line="276" w:lineRule="auto"/>
              <w:jc w:val="center"/>
            </w:pPr>
            <w:r>
              <w:t>43.4%</w:t>
            </w:r>
          </w:p>
        </w:tc>
        <w:tc>
          <w:tcPr>
            <w:tcW w:w="1316" w:type="dxa"/>
            <w:tcBorders>
              <w:left w:val="single" w:sz="12" w:space="0" w:color="auto"/>
            </w:tcBorders>
          </w:tcPr>
          <w:p w:rsidR="00407AC3" w:rsidRPr="00F0570C" w:rsidRDefault="00407AC3" w:rsidP="00721BE5">
            <w:pPr>
              <w:spacing w:after="200" w:line="276" w:lineRule="auto"/>
              <w:jc w:val="center"/>
            </w:pPr>
            <w:r w:rsidRPr="00F0570C">
              <w:t>36.8%</w:t>
            </w:r>
          </w:p>
        </w:tc>
      </w:tr>
      <w:tr w:rsidR="000C5AB4" w:rsidTr="00407AC3">
        <w:tc>
          <w:tcPr>
            <w:tcW w:w="1655" w:type="dxa"/>
            <w:tcBorders>
              <w:right w:val="single" w:sz="12" w:space="0" w:color="auto"/>
            </w:tcBorders>
          </w:tcPr>
          <w:p w:rsidR="00407AC3" w:rsidRDefault="00407AC3" w:rsidP="00721BE5">
            <w:pPr>
              <w:spacing w:after="200" w:line="276" w:lineRule="auto"/>
              <w:jc w:val="center"/>
            </w:pPr>
            <w:r>
              <w:t>g</w:t>
            </w:r>
            <w:r>
              <w:rPr>
                <w:vertAlign w:val="subscript"/>
              </w:rPr>
              <w:t>n</w:t>
            </w:r>
          </w:p>
        </w:tc>
        <w:tc>
          <w:tcPr>
            <w:tcW w:w="1314" w:type="dxa"/>
            <w:tcBorders>
              <w:left w:val="single" w:sz="12" w:space="0" w:color="auto"/>
            </w:tcBorders>
          </w:tcPr>
          <w:p w:rsidR="00407AC3" w:rsidRDefault="00407AC3" w:rsidP="00721BE5">
            <w:pPr>
              <w:spacing w:after="200" w:line="276" w:lineRule="auto"/>
              <w:jc w:val="center"/>
            </w:pPr>
            <w:r>
              <w:t>15%</w:t>
            </w:r>
          </w:p>
        </w:tc>
        <w:tc>
          <w:tcPr>
            <w:tcW w:w="1343" w:type="dxa"/>
            <w:tcBorders>
              <w:left w:val="single" w:sz="12" w:space="0" w:color="auto"/>
            </w:tcBorders>
          </w:tcPr>
          <w:p w:rsidR="00407AC3" w:rsidRDefault="00407AC3" w:rsidP="00721BE5">
            <w:pPr>
              <w:spacing w:after="200" w:line="276" w:lineRule="auto"/>
              <w:jc w:val="center"/>
            </w:pPr>
            <w:r>
              <w:t>15%</w:t>
            </w:r>
          </w:p>
        </w:tc>
        <w:tc>
          <w:tcPr>
            <w:tcW w:w="1316" w:type="dxa"/>
            <w:tcBorders>
              <w:left w:val="single" w:sz="12" w:space="0" w:color="auto"/>
            </w:tcBorders>
          </w:tcPr>
          <w:p w:rsidR="00407AC3" w:rsidRDefault="00407AC3" w:rsidP="00721BE5">
            <w:pPr>
              <w:spacing w:after="200" w:line="276" w:lineRule="auto"/>
              <w:jc w:val="center"/>
            </w:pPr>
            <w:r>
              <w:t>18.8%</w:t>
            </w:r>
          </w:p>
        </w:tc>
        <w:tc>
          <w:tcPr>
            <w:tcW w:w="1316" w:type="dxa"/>
            <w:tcBorders>
              <w:left w:val="single" w:sz="12" w:space="0" w:color="auto"/>
            </w:tcBorders>
          </w:tcPr>
          <w:p w:rsidR="00407AC3" w:rsidRPr="00F0570C" w:rsidRDefault="00407AC3" w:rsidP="00721BE5">
            <w:pPr>
              <w:spacing w:after="200" w:line="276" w:lineRule="auto"/>
              <w:jc w:val="center"/>
            </w:pPr>
            <w:r w:rsidRPr="00F0570C">
              <w:t>15%</w:t>
            </w:r>
          </w:p>
        </w:tc>
        <w:tc>
          <w:tcPr>
            <w:tcW w:w="1316" w:type="dxa"/>
            <w:tcBorders>
              <w:left w:val="single" w:sz="12" w:space="0" w:color="auto"/>
            </w:tcBorders>
          </w:tcPr>
          <w:p w:rsidR="00407AC3" w:rsidRDefault="00407AC3" w:rsidP="00721BE5">
            <w:pPr>
              <w:spacing w:after="200" w:line="276" w:lineRule="auto"/>
              <w:jc w:val="center"/>
            </w:pPr>
            <w:r>
              <w:t>23.8%</w:t>
            </w:r>
          </w:p>
        </w:tc>
        <w:tc>
          <w:tcPr>
            <w:tcW w:w="1316" w:type="dxa"/>
            <w:tcBorders>
              <w:left w:val="single" w:sz="12" w:space="0" w:color="auto"/>
            </w:tcBorders>
          </w:tcPr>
          <w:p w:rsidR="00407AC3" w:rsidRPr="00F0570C" w:rsidRDefault="00407AC3" w:rsidP="00721BE5">
            <w:pPr>
              <w:spacing w:after="200" w:line="276" w:lineRule="auto"/>
              <w:jc w:val="center"/>
            </w:pPr>
            <w:r w:rsidRPr="00F0570C">
              <w:t>18.8%</w:t>
            </w:r>
          </w:p>
        </w:tc>
      </w:tr>
      <w:tr w:rsidR="000C5AB4" w:rsidTr="00407AC3">
        <w:tc>
          <w:tcPr>
            <w:tcW w:w="1655" w:type="dxa"/>
            <w:tcBorders>
              <w:right w:val="single" w:sz="12" w:space="0" w:color="auto"/>
            </w:tcBorders>
          </w:tcPr>
          <w:p w:rsidR="00407AC3" w:rsidRDefault="00407AC3" w:rsidP="00721BE5">
            <w:pPr>
              <w:spacing w:after="200" w:line="276" w:lineRule="auto"/>
              <w:jc w:val="center"/>
            </w:pPr>
            <w:r>
              <w:rPr>
                <w:u w:val="single"/>
              </w:rPr>
              <w:t>[1] ATFV: Stocks In – Bonds Out</w:t>
            </w:r>
          </w:p>
        </w:tc>
        <w:tc>
          <w:tcPr>
            <w:tcW w:w="1314" w:type="dxa"/>
            <w:tcBorders>
              <w:left w:val="single" w:sz="12" w:space="0" w:color="auto"/>
            </w:tcBorders>
          </w:tcPr>
          <w:p w:rsidR="00407AC3" w:rsidRPr="00AF5DB2" w:rsidRDefault="00407AC3" w:rsidP="00407AC3">
            <w:pPr>
              <w:spacing w:after="200" w:line="276" w:lineRule="auto"/>
              <w:jc w:val="center"/>
            </w:pPr>
            <w:r w:rsidRPr="00AF5DB2">
              <w:t>$</w:t>
            </w:r>
            <w:r>
              <w:t>11</w:t>
            </w:r>
            <w:r w:rsidR="00CD4970">
              <w:t>5</w:t>
            </w:r>
            <w:r>
              <w:t>,</w:t>
            </w:r>
            <w:r w:rsidR="00CD4970">
              <w:t>658</w:t>
            </w:r>
          </w:p>
        </w:tc>
        <w:tc>
          <w:tcPr>
            <w:tcW w:w="1343" w:type="dxa"/>
            <w:tcBorders>
              <w:left w:val="single" w:sz="12" w:space="0" w:color="auto"/>
            </w:tcBorders>
          </w:tcPr>
          <w:p w:rsidR="00407AC3" w:rsidRDefault="00407AC3" w:rsidP="00407AC3">
            <w:pPr>
              <w:spacing w:after="200" w:line="276" w:lineRule="auto"/>
              <w:jc w:val="center"/>
            </w:pPr>
            <w:r w:rsidRPr="00AF5DB2">
              <w:t>$</w:t>
            </w:r>
            <w:r w:rsidR="000F3102">
              <w:t>1</w:t>
            </w:r>
            <w:r w:rsidR="00CD4970">
              <w:t>19</w:t>
            </w:r>
            <w:r w:rsidR="000F3102">
              <w:t>,</w:t>
            </w:r>
            <w:r w:rsidR="00CD4970">
              <w:t>154</w:t>
            </w:r>
          </w:p>
          <w:p w:rsidR="000F3102" w:rsidRPr="00AF5DB2" w:rsidRDefault="000F3102" w:rsidP="00407AC3">
            <w:pPr>
              <w:spacing w:after="200" w:line="276" w:lineRule="auto"/>
              <w:jc w:val="center"/>
            </w:pPr>
          </w:p>
        </w:tc>
        <w:tc>
          <w:tcPr>
            <w:tcW w:w="1316" w:type="dxa"/>
            <w:tcBorders>
              <w:left w:val="single" w:sz="12" w:space="0" w:color="auto"/>
            </w:tcBorders>
          </w:tcPr>
          <w:p w:rsidR="00407AC3" w:rsidRPr="00AF5DB2" w:rsidRDefault="00407AC3" w:rsidP="00CD4970">
            <w:pPr>
              <w:spacing w:after="200" w:line="276" w:lineRule="auto"/>
              <w:jc w:val="center"/>
            </w:pPr>
            <w:r w:rsidRPr="00AF5DB2">
              <w:t>$</w:t>
            </w:r>
            <w:r w:rsidR="00CD4970">
              <w:t>99</w:t>
            </w:r>
            <w:r w:rsidR="00BD74DE">
              <w:t>,</w:t>
            </w:r>
            <w:r w:rsidR="00CD4970">
              <w:t>675</w:t>
            </w:r>
          </w:p>
        </w:tc>
        <w:tc>
          <w:tcPr>
            <w:tcW w:w="1316" w:type="dxa"/>
            <w:tcBorders>
              <w:left w:val="single" w:sz="12" w:space="0" w:color="auto"/>
            </w:tcBorders>
          </w:tcPr>
          <w:p w:rsidR="00407AC3" w:rsidRPr="00AF5DB2" w:rsidRDefault="00407AC3" w:rsidP="00CD4970">
            <w:pPr>
              <w:spacing w:after="200" w:line="276" w:lineRule="auto"/>
              <w:jc w:val="center"/>
            </w:pPr>
            <w:r w:rsidRPr="00AF5DB2">
              <w:t>$</w:t>
            </w:r>
            <w:r w:rsidR="00CD4970">
              <w:t>109,929</w:t>
            </w:r>
          </w:p>
        </w:tc>
        <w:tc>
          <w:tcPr>
            <w:tcW w:w="1316" w:type="dxa"/>
            <w:tcBorders>
              <w:left w:val="single" w:sz="12" w:space="0" w:color="auto"/>
            </w:tcBorders>
          </w:tcPr>
          <w:p w:rsidR="00407AC3" w:rsidRPr="00AF5DB2" w:rsidRDefault="00407AC3" w:rsidP="00970F5C">
            <w:pPr>
              <w:spacing w:after="200" w:line="276" w:lineRule="auto"/>
              <w:jc w:val="center"/>
            </w:pPr>
            <w:r w:rsidRPr="00AF5DB2">
              <w:t>$</w:t>
            </w:r>
            <w:r w:rsidR="00970F5C">
              <w:t>88</w:t>
            </w:r>
            <w:r w:rsidR="00BD74DE">
              <w:t>,</w:t>
            </w:r>
            <w:r w:rsidR="00970F5C">
              <w:t>094</w:t>
            </w:r>
          </w:p>
        </w:tc>
        <w:tc>
          <w:tcPr>
            <w:tcW w:w="1316" w:type="dxa"/>
            <w:tcBorders>
              <w:left w:val="single" w:sz="12" w:space="0" w:color="auto"/>
            </w:tcBorders>
          </w:tcPr>
          <w:p w:rsidR="00407AC3" w:rsidRPr="00AF5DB2" w:rsidRDefault="00407AC3" w:rsidP="00970F5C">
            <w:pPr>
              <w:spacing w:after="200" w:line="276" w:lineRule="auto"/>
              <w:jc w:val="center"/>
            </w:pPr>
            <w:r w:rsidRPr="00AF5DB2">
              <w:t>$</w:t>
            </w:r>
            <w:r w:rsidR="00970F5C">
              <w:t>95</w:t>
            </w:r>
            <w:r w:rsidR="00BD74DE">
              <w:t>,</w:t>
            </w:r>
            <w:r w:rsidR="00970F5C">
              <w:t>785</w:t>
            </w:r>
          </w:p>
        </w:tc>
      </w:tr>
      <w:tr w:rsidR="000C5AB4" w:rsidTr="00407AC3">
        <w:tc>
          <w:tcPr>
            <w:tcW w:w="1655" w:type="dxa"/>
            <w:tcBorders>
              <w:right w:val="single" w:sz="12" w:space="0" w:color="auto"/>
            </w:tcBorders>
          </w:tcPr>
          <w:p w:rsidR="00407AC3" w:rsidRPr="006E00B2" w:rsidRDefault="00407AC3" w:rsidP="00721BE5">
            <w:pPr>
              <w:spacing w:after="200" w:line="276" w:lineRule="auto"/>
              <w:jc w:val="center"/>
              <w:rPr>
                <w:u w:val="single"/>
              </w:rPr>
            </w:pPr>
            <w:r>
              <w:rPr>
                <w:u w:val="single"/>
              </w:rPr>
              <w:t>[2] ATFV: Bonds In – Stocks Out</w:t>
            </w:r>
          </w:p>
        </w:tc>
        <w:tc>
          <w:tcPr>
            <w:tcW w:w="1314" w:type="dxa"/>
            <w:tcBorders>
              <w:left w:val="single" w:sz="12" w:space="0" w:color="auto"/>
            </w:tcBorders>
          </w:tcPr>
          <w:p w:rsidR="000F3102" w:rsidRPr="00AF5DB2" w:rsidRDefault="00407AC3" w:rsidP="00970F5C">
            <w:pPr>
              <w:spacing w:after="200" w:line="276" w:lineRule="auto"/>
              <w:jc w:val="center"/>
              <w:rPr>
                <w:u w:val="single"/>
              </w:rPr>
            </w:pPr>
            <w:r w:rsidRPr="00AF5DB2">
              <w:rPr>
                <w:u w:val="single"/>
              </w:rPr>
              <w:t>$</w:t>
            </w:r>
            <w:r w:rsidR="000F3102">
              <w:rPr>
                <w:u w:val="single"/>
              </w:rPr>
              <w:t>11</w:t>
            </w:r>
            <w:r w:rsidR="00CD4970">
              <w:rPr>
                <w:u w:val="single"/>
              </w:rPr>
              <w:t>1</w:t>
            </w:r>
            <w:r w:rsidR="000F3102">
              <w:rPr>
                <w:u w:val="single"/>
              </w:rPr>
              <w:t>,6</w:t>
            </w:r>
            <w:r w:rsidR="00CD4970">
              <w:rPr>
                <w:u w:val="single"/>
              </w:rPr>
              <w:t>26</w:t>
            </w:r>
          </w:p>
        </w:tc>
        <w:tc>
          <w:tcPr>
            <w:tcW w:w="1343" w:type="dxa"/>
            <w:tcBorders>
              <w:left w:val="single" w:sz="12" w:space="0" w:color="auto"/>
            </w:tcBorders>
          </w:tcPr>
          <w:p w:rsidR="00407AC3" w:rsidRPr="00AF5DB2" w:rsidRDefault="00407AC3" w:rsidP="000C5AB4">
            <w:pPr>
              <w:spacing w:after="200" w:line="276" w:lineRule="auto"/>
              <w:jc w:val="center"/>
              <w:rPr>
                <w:u w:val="single"/>
              </w:rPr>
            </w:pPr>
            <w:r w:rsidRPr="00AF5DB2">
              <w:rPr>
                <w:u w:val="single"/>
              </w:rPr>
              <w:t>$</w:t>
            </w:r>
            <w:r w:rsidR="000F3102">
              <w:rPr>
                <w:u w:val="single"/>
              </w:rPr>
              <w:t>1</w:t>
            </w:r>
            <w:r w:rsidR="000C5AB4">
              <w:rPr>
                <w:u w:val="single"/>
              </w:rPr>
              <w:t>1</w:t>
            </w:r>
            <w:r w:rsidR="00CD4970">
              <w:rPr>
                <w:u w:val="single"/>
              </w:rPr>
              <w:t>3</w:t>
            </w:r>
            <w:r w:rsidR="000F3102">
              <w:rPr>
                <w:u w:val="single"/>
              </w:rPr>
              <w:t>,</w:t>
            </w:r>
            <w:r w:rsidR="00CD4970">
              <w:rPr>
                <w:u w:val="single"/>
              </w:rPr>
              <w:t>269</w:t>
            </w:r>
          </w:p>
        </w:tc>
        <w:tc>
          <w:tcPr>
            <w:tcW w:w="1316" w:type="dxa"/>
            <w:tcBorders>
              <w:left w:val="single" w:sz="12" w:space="0" w:color="auto"/>
            </w:tcBorders>
          </w:tcPr>
          <w:p w:rsidR="00407AC3" w:rsidRDefault="00407AC3" w:rsidP="00721BE5">
            <w:pPr>
              <w:spacing w:after="200" w:line="276" w:lineRule="auto"/>
              <w:jc w:val="center"/>
              <w:rPr>
                <w:u w:val="single"/>
              </w:rPr>
            </w:pPr>
            <w:r w:rsidRPr="00AF5DB2">
              <w:rPr>
                <w:u w:val="single"/>
              </w:rPr>
              <w:t>$</w:t>
            </w:r>
            <w:r w:rsidR="00CD4970">
              <w:rPr>
                <w:u w:val="single"/>
              </w:rPr>
              <w:t>95</w:t>
            </w:r>
            <w:r w:rsidR="00BD74DE">
              <w:rPr>
                <w:u w:val="single"/>
              </w:rPr>
              <w:t>,</w:t>
            </w:r>
            <w:r w:rsidR="00CD4970">
              <w:rPr>
                <w:u w:val="single"/>
              </w:rPr>
              <w:t>477</w:t>
            </w:r>
          </w:p>
          <w:p w:rsidR="00BD74DE" w:rsidRPr="00AF5DB2" w:rsidRDefault="00BD74DE" w:rsidP="00721BE5">
            <w:pPr>
              <w:spacing w:after="200" w:line="276" w:lineRule="auto"/>
              <w:jc w:val="center"/>
              <w:rPr>
                <w:u w:val="single"/>
              </w:rPr>
            </w:pPr>
          </w:p>
        </w:tc>
        <w:tc>
          <w:tcPr>
            <w:tcW w:w="1316" w:type="dxa"/>
            <w:tcBorders>
              <w:left w:val="single" w:sz="12" w:space="0" w:color="auto"/>
            </w:tcBorders>
          </w:tcPr>
          <w:p w:rsidR="00407AC3" w:rsidRPr="00AF5DB2" w:rsidRDefault="00407AC3" w:rsidP="000C5AB4">
            <w:pPr>
              <w:spacing w:after="200" w:line="276" w:lineRule="auto"/>
              <w:jc w:val="center"/>
              <w:rPr>
                <w:u w:val="single"/>
              </w:rPr>
            </w:pPr>
            <w:r w:rsidRPr="00AF5DB2">
              <w:rPr>
                <w:u w:val="single"/>
              </w:rPr>
              <w:t>$</w:t>
            </w:r>
            <w:r w:rsidR="00BD74DE">
              <w:rPr>
                <w:u w:val="single"/>
              </w:rPr>
              <w:t>1</w:t>
            </w:r>
            <w:r w:rsidR="00CD4970">
              <w:rPr>
                <w:u w:val="single"/>
              </w:rPr>
              <w:t>01</w:t>
            </w:r>
            <w:r w:rsidR="00BD74DE">
              <w:rPr>
                <w:u w:val="single"/>
              </w:rPr>
              <w:t>,</w:t>
            </w:r>
            <w:r w:rsidR="00CD4970">
              <w:rPr>
                <w:u w:val="single"/>
              </w:rPr>
              <w:t>879</w:t>
            </w:r>
          </w:p>
        </w:tc>
        <w:tc>
          <w:tcPr>
            <w:tcW w:w="1316" w:type="dxa"/>
            <w:tcBorders>
              <w:left w:val="single" w:sz="12" w:space="0" w:color="auto"/>
            </w:tcBorders>
          </w:tcPr>
          <w:p w:rsidR="00407AC3" w:rsidRPr="00AF5DB2" w:rsidRDefault="00407AC3" w:rsidP="00CD4970">
            <w:pPr>
              <w:spacing w:after="200" w:line="276" w:lineRule="auto"/>
              <w:jc w:val="center"/>
              <w:rPr>
                <w:u w:val="single"/>
              </w:rPr>
            </w:pPr>
            <w:r w:rsidRPr="00AF5DB2">
              <w:rPr>
                <w:u w:val="single"/>
              </w:rPr>
              <w:t>$</w:t>
            </w:r>
            <w:r w:rsidR="00970F5C">
              <w:rPr>
                <w:u w:val="single"/>
              </w:rPr>
              <w:t>82</w:t>
            </w:r>
            <w:r w:rsidR="00BD74DE">
              <w:rPr>
                <w:u w:val="single"/>
              </w:rPr>
              <w:t>,</w:t>
            </w:r>
            <w:r w:rsidR="00970F5C">
              <w:rPr>
                <w:u w:val="single"/>
              </w:rPr>
              <w:t>607</w:t>
            </w:r>
          </w:p>
        </w:tc>
        <w:tc>
          <w:tcPr>
            <w:tcW w:w="1316" w:type="dxa"/>
            <w:tcBorders>
              <w:left w:val="single" w:sz="12" w:space="0" w:color="auto"/>
            </w:tcBorders>
          </w:tcPr>
          <w:p w:rsidR="00174D4E" w:rsidRDefault="00407AC3" w:rsidP="00970F5C">
            <w:pPr>
              <w:spacing w:after="200" w:line="276" w:lineRule="auto"/>
              <w:jc w:val="center"/>
              <w:rPr>
                <w:u w:val="single"/>
              </w:rPr>
            </w:pPr>
            <w:r w:rsidRPr="00AF5DB2">
              <w:rPr>
                <w:u w:val="single"/>
              </w:rPr>
              <w:t>$</w:t>
            </w:r>
            <w:r w:rsidR="00970F5C">
              <w:rPr>
                <w:u w:val="single"/>
              </w:rPr>
              <w:t>88</w:t>
            </w:r>
            <w:r w:rsidR="00BD74DE">
              <w:rPr>
                <w:u w:val="single"/>
              </w:rPr>
              <w:t>,</w:t>
            </w:r>
            <w:r w:rsidR="00970F5C">
              <w:rPr>
                <w:u w:val="single"/>
              </w:rPr>
              <w:t>066</w:t>
            </w:r>
          </w:p>
          <w:p w:rsidR="00174D4E" w:rsidRPr="00AF5DB2" w:rsidRDefault="00174D4E" w:rsidP="00970F5C">
            <w:pPr>
              <w:spacing w:after="200" w:line="276" w:lineRule="auto"/>
              <w:rPr>
                <w:u w:val="single"/>
              </w:rPr>
            </w:pPr>
          </w:p>
        </w:tc>
      </w:tr>
      <w:tr w:rsidR="000C5AB4" w:rsidTr="00407AC3">
        <w:tc>
          <w:tcPr>
            <w:tcW w:w="1655" w:type="dxa"/>
            <w:tcBorders>
              <w:right w:val="single" w:sz="12" w:space="0" w:color="auto"/>
            </w:tcBorders>
          </w:tcPr>
          <w:p w:rsidR="00407AC3" w:rsidRDefault="00407AC3" w:rsidP="00721BE5">
            <w:pPr>
              <w:spacing w:after="200" w:line="276" w:lineRule="auto"/>
              <w:jc w:val="center"/>
            </w:pPr>
            <w:r>
              <w:t>[1] – [2] = [3] Difference</w:t>
            </w:r>
          </w:p>
        </w:tc>
        <w:tc>
          <w:tcPr>
            <w:tcW w:w="1314" w:type="dxa"/>
            <w:tcBorders>
              <w:left w:val="single" w:sz="12" w:space="0" w:color="auto"/>
            </w:tcBorders>
          </w:tcPr>
          <w:p w:rsidR="00407AC3" w:rsidRPr="00AF5DB2" w:rsidRDefault="00407AC3" w:rsidP="00407AC3">
            <w:pPr>
              <w:spacing w:after="200" w:line="276" w:lineRule="auto"/>
              <w:jc w:val="center"/>
            </w:pPr>
            <w:r w:rsidRPr="00AF5DB2">
              <w:t>$</w:t>
            </w:r>
            <w:r w:rsidR="0042653E">
              <w:t>4,032</w:t>
            </w:r>
          </w:p>
        </w:tc>
        <w:tc>
          <w:tcPr>
            <w:tcW w:w="1343" w:type="dxa"/>
            <w:tcBorders>
              <w:left w:val="single" w:sz="12" w:space="0" w:color="auto"/>
            </w:tcBorders>
          </w:tcPr>
          <w:p w:rsidR="00407AC3" w:rsidRPr="00AF5DB2" w:rsidRDefault="00407AC3" w:rsidP="00407AC3">
            <w:pPr>
              <w:spacing w:after="200" w:line="276" w:lineRule="auto"/>
              <w:jc w:val="center"/>
            </w:pPr>
            <w:r w:rsidRPr="00AF5DB2">
              <w:t>$</w:t>
            </w:r>
            <w:r w:rsidR="0042653E">
              <w:t>5,885</w:t>
            </w:r>
          </w:p>
        </w:tc>
        <w:tc>
          <w:tcPr>
            <w:tcW w:w="1316" w:type="dxa"/>
            <w:tcBorders>
              <w:left w:val="single" w:sz="12" w:space="0" w:color="auto"/>
            </w:tcBorders>
          </w:tcPr>
          <w:p w:rsidR="00407AC3" w:rsidRPr="00AF5DB2" w:rsidRDefault="00407AC3" w:rsidP="00721BE5">
            <w:pPr>
              <w:spacing w:after="200" w:line="276" w:lineRule="auto"/>
              <w:jc w:val="center"/>
            </w:pPr>
            <w:r w:rsidRPr="00AF5DB2">
              <w:t>$</w:t>
            </w:r>
            <w:r w:rsidR="0042653E">
              <w:t>4,198</w:t>
            </w:r>
          </w:p>
        </w:tc>
        <w:tc>
          <w:tcPr>
            <w:tcW w:w="1316" w:type="dxa"/>
            <w:tcBorders>
              <w:left w:val="single" w:sz="12" w:space="0" w:color="auto"/>
            </w:tcBorders>
          </w:tcPr>
          <w:p w:rsidR="00407AC3" w:rsidRPr="00AF5DB2" w:rsidRDefault="00407AC3" w:rsidP="00721BE5">
            <w:pPr>
              <w:spacing w:after="200" w:line="276" w:lineRule="auto"/>
              <w:jc w:val="center"/>
            </w:pPr>
            <w:r w:rsidRPr="00AF5DB2">
              <w:t>$</w:t>
            </w:r>
            <w:r w:rsidR="0042653E">
              <w:t>8,050</w:t>
            </w:r>
          </w:p>
        </w:tc>
        <w:tc>
          <w:tcPr>
            <w:tcW w:w="1316" w:type="dxa"/>
            <w:tcBorders>
              <w:left w:val="single" w:sz="12" w:space="0" w:color="auto"/>
            </w:tcBorders>
          </w:tcPr>
          <w:p w:rsidR="00407AC3" w:rsidRPr="00AF5DB2" w:rsidRDefault="00407AC3" w:rsidP="00721BE5">
            <w:pPr>
              <w:spacing w:after="200" w:line="276" w:lineRule="auto"/>
              <w:jc w:val="center"/>
            </w:pPr>
            <w:r w:rsidRPr="00AF5DB2">
              <w:t>$</w:t>
            </w:r>
            <w:r w:rsidR="0042653E">
              <w:t>5,487</w:t>
            </w:r>
          </w:p>
        </w:tc>
        <w:tc>
          <w:tcPr>
            <w:tcW w:w="1316" w:type="dxa"/>
            <w:tcBorders>
              <w:left w:val="single" w:sz="12" w:space="0" w:color="auto"/>
            </w:tcBorders>
          </w:tcPr>
          <w:p w:rsidR="00407AC3" w:rsidRPr="00AF5DB2" w:rsidRDefault="00407AC3" w:rsidP="00721BE5">
            <w:pPr>
              <w:spacing w:after="200" w:line="276" w:lineRule="auto"/>
              <w:jc w:val="center"/>
            </w:pPr>
            <w:r w:rsidRPr="00AF5DB2">
              <w:t>$</w:t>
            </w:r>
            <w:r w:rsidR="0042653E">
              <w:t>7,719</w:t>
            </w:r>
          </w:p>
        </w:tc>
      </w:tr>
      <w:tr w:rsidR="000C5AB4" w:rsidTr="00407AC3">
        <w:tc>
          <w:tcPr>
            <w:tcW w:w="1655" w:type="dxa"/>
            <w:tcBorders>
              <w:right w:val="single" w:sz="12" w:space="0" w:color="auto"/>
            </w:tcBorders>
          </w:tcPr>
          <w:p w:rsidR="00407AC3" w:rsidRDefault="00407AC3" w:rsidP="00884FA2">
            <w:pPr>
              <w:spacing w:after="200" w:line="276" w:lineRule="auto"/>
              <w:jc w:val="center"/>
            </w:pPr>
            <w:r>
              <w:t xml:space="preserve">[3] / [2] Percentage </w:t>
            </w:r>
            <w:r w:rsidR="00884FA2">
              <w:t>i</w:t>
            </w:r>
            <w:r>
              <w:t>ncrease</w:t>
            </w:r>
          </w:p>
        </w:tc>
        <w:tc>
          <w:tcPr>
            <w:tcW w:w="1314" w:type="dxa"/>
            <w:tcBorders>
              <w:left w:val="single" w:sz="12" w:space="0" w:color="auto"/>
            </w:tcBorders>
          </w:tcPr>
          <w:p w:rsidR="00407AC3" w:rsidRDefault="0042653E" w:rsidP="00407AC3">
            <w:pPr>
              <w:spacing w:after="200" w:line="276" w:lineRule="auto"/>
              <w:jc w:val="center"/>
            </w:pPr>
            <w:r>
              <w:t>3.6%</w:t>
            </w:r>
          </w:p>
        </w:tc>
        <w:tc>
          <w:tcPr>
            <w:tcW w:w="1343" w:type="dxa"/>
            <w:tcBorders>
              <w:left w:val="single" w:sz="12" w:space="0" w:color="auto"/>
            </w:tcBorders>
          </w:tcPr>
          <w:p w:rsidR="00407AC3" w:rsidRDefault="0042653E" w:rsidP="0042653E">
            <w:pPr>
              <w:spacing w:after="200" w:line="276" w:lineRule="auto"/>
              <w:jc w:val="center"/>
            </w:pPr>
            <w:r>
              <w:t>5</w:t>
            </w:r>
            <w:r w:rsidR="00407AC3">
              <w:t>.</w:t>
            </w:r>
            <w:r>
              <w:t>2</w:t>
            </w:r>
            <w:r w:rsidR="00407AC3">
              <w:t>%</w:t>
            </w:r>
          </w:p>
        </w:tc>
        <w:tc>
          <w:tcPr>
            <w:tcW w:w="1316" w:type="dxa"/>
            <w:tcBorders>
              <w:left w:val="single" w:sz="12" w:space="0" w:color="auto"/>
            </w:tcBorders>
          </w:tcPr>
          <w:p w:rsidR="00407AC3" w:rsidRDefault="0042653E" w:rsidP="0042653E">
            <w:pPr>
              <w:spacing w:after="200" w:line="276" w:lineRule="auto"/>
              <w:jc w:val="center"/>
            </w:pPr>
            <w:r>
              <w:t>4</w:t>
            </w:r>
            <w:r w:rsidR="00407AC3">
              <w:t>.</w:t>
            </w:r>
            <w:r>
              <w:t>4</w:t>
            </w:r>
            <w:r w:rsidR="00407AC3">
              <w:t>%</w:t>
            </w:r>
          </w:p>
        </w:tc>
        <w:tc>
          <w:tcPr>
            <w:tcW w:w="1316" w:type="dxa"/>
            <w:tcBorders>
              <w:left w:val="single" w:sz="12" w:space="0" w:color="auto"/>
            </w:tcBorders>
          </w:tcPr>
          <w:p w:rsidR="00407AC3" w:rsidRDefault="0042653E" w:rsidP="0042653E">
            <w:pPr>
              <w:spacing w:after="200" w:line="276" w:lineRule="auto"/>
              <w:jc w:val="center"/>
            </w:pPr>
            <w:r>
              <w:t>7</w:t>
            </w:r>
            <w:r w:rsidR="00407AC3">
              <w:t>.</w:t>
            </w:r>
            <w:r>
              <w:t>9</w:t>
            </w:r>
            <w:r w:rsidR="00407AC3">
              <w:t>%</w:t>
            </w:r>
          </w:p>
        </w:tc>
        <w:tc>
          <w:tcPr>
            <w:tcW w:w="1316" w:type="dxa"/>
            <w:tcBorders>
              <w:left w:val="single" w:sz="12" w:space="0" w:color="auto"/>
            </w:tcBorders>
          </w:tcPr>
          <w:p w:rsidR="00407AC3" w:rsidRDefault="0042653E" w:rsidP="0042653E">
            <w:pPr>
              <w:spacing w:after="200" w:line="276" w:lineRule="auto"/>
              <w:jc w:val="center"/>
            </w:pPr>
            <w:r>
              <w:t>6</w:t>
            </w:r>
            <w:r w:rsidR="00407AC3">
              <w:t>.</w:t>
            </w:r>
            <w:r>
              <w:t>6</w:t>
            </w:r>
            <w:r w:rsidR="00407AC3">
              <w:t>%</w:t>
            </w:r>
          </w:p>
        </w:tc>
        <w:tc>
          <w:tcPr>
            <w:tcW w:w="1316" w:type="dxa"/>
            <w:tcBorders>
              <w:left w:val="single" w:sz="12" w:space="0" w:color="auto"/>
            </w:tcBorders>
          </w:tcPr>
          <w:p w:rsidR="00407AC3" w:rsidRDefault="0042653E" w:rsidP="0042653E">
            <w:pPr>
              <w:spacing w:after="200" w:line="276" w:lineRule="auto"/>
              <w:jc w:val="center"/>
            </w:pPr>
            <w:r>
              <w:t>8</w:t>
            </w:r>
            <w:r w:rsidR="00407AC3">
              <w:t>.</w:t>
            </w:r>
            <w:r>
              <w:t>8</w:t>
            </w:r>
            <w:r w:rsidR="00407AC3">
              <w:t>%</w:t>
            </w:r>
          </w:p>
        </w:tc>
      </w:tr>
    </w:tbl>
    <w:p w:rsidR="00407AC3" w:rsidRDefault="00407AC3" w:rsidP="00EA1D80">
      <w:pPr>
        <w:spacing w:line="276" w:lineRule="auto"/>
      </w:pPr>
    </w:p>
    <w:p w:rsidR="00951A49" w:rsidRDefault="00951A49" w:rsidP="00EA1D80">
      <w:pPr>
        <w:spacing w:line="276" w:lineRule="auto"/>
      </w:pPr>
    </w:p>
    <w:p w:rsidR="00B52F5B" w:rsidRDefault="00B37FB1" w:rsidP="00B52F5B">
      <w:pPr>
        <w:spacing w:line="480" w:lineRule="auto"/>
        <w:ind w:firstLine="720"/>
      </w:pPr>
      <w:r>
        <w:t xml:space="preserve">To summarize Table 3, Stocks In – Bonds Out again makes the taxpayer wealthier than Bonds In – Stocks Out in both scenarios for all three sets of tax rates. In the three cases of steady tax rates (scenario 1), </w:t>
      </w:r>
      <w:r w:rsidR="00F0570C">
        <w:t xml:space="preserve">Stocks In – Bonds Out </w:t>
      </w:r>
      <w:r>
        <w:t xml:space="preserve">improves wealth by between 3.6% and 6.6%. In the three cases of tax rates dropping one bracket </w:t>
      </w:r>
      <w:r w:rsidR="00F36BD0">
        <w:t>at</w:t>
      </w:r>
      <w:r>
        <w:t xml:space="preserve"> retirement</w:t>
      </w:r>
      <w:r w:rsidR="00F0570C">
        <w:t xml:space="preserve"> (scenario 2)</w:t>
      </w:r>
      <w:r>
        <w:t xml:space="preserve">, </w:t>
      </w:r>
      <w:r w:rsidR="00F0570C">
        <w:t xml:space="preserve">Stocks In – Bonds Out </w:t>
      </w:r>
      <w:r>
        <w:t xml:space="preserve">improves wealth by between 5.2% and </w:t>
      </w:r>
      <w:r w:rsidR="00B52F5B">
        <w:t>8.8%.</w:t>
      </w:r>
    </w:p>
    <w:p w:rsidR="00B37FB1" w:rsidRDefault="00B37FB1" w:rsidP="00B52F5B">
      <w:pPr>
        <w:spacing w:line="480" w:lineRule="auto"/>
        <w:ind w:firstLine="720"/>
      </w:pPr>
      <w:r>
        <w:t xml:space="preserve">Next, in Table 4, Table 3’s three </w:t>
      </w:r>
      <w:proofErr w:type="gramStart"/>
      <w:r>
        <w:t>scenario</w:t>
      </w:r>
      <w:proofErr w:type="gramEnd"/>
      <w:r>
        <w:t xml:space="preserve"> 1’s (</w:t>
      </w:r>
      <w:r w:rsidR="00F14CC0">
        <w:t xml:space="preserve">i.e., </w:t>
      </w:r>
      <w:r>
        <w:t>steady tax rates) will be rerun changing the assumption that the investment horizon is 20 years to either 30 years (</w:t>
      </w:r>
      <w:r w:rsidR="00502F67">
        <w:t xml:space="preserve">the </w:t>
      </w:r>
      <w:r>
        <w:t>first three columns) or 10 years (</w:t>
      </w:r>
      <w:r w:rsidR="00502F67">
        <w:t xml:space="preserve">the </w:t>
      </w:r>
      <w:r>
        <w:t>last three columns).</w:t>
      </w:r>
    </w:p>
    <w:p w:rsidR="00B37FB1" w:rsidRDefault="00F32A22" w:rsidP="0032114B">
      <w:pPr>
        <w:spacing w:line="276" w:lineRule="auto"/>
        <w:jc w:val="center"/>
        <w:rPr>
          <w:b/>
        </w:rPr>
      </w:pPr>
      <w:r w:rsidRPr="004422B3">
        <w:rPr>
          <w:b/>
        </w:rPr>
        <w:lastRenderedPageBreak/>
        <w:t xml:space="preserve">Table </w:t>
      </w:r>
      <w:r>
        <w:rPr>
          <w:b/>
        </w:rPr>
        <w:t>4</w:t>
      </w:r>
    </w:p>
    <w:p w:rsidR="00F32A22" w:rsidRDefault="00F32A22" w:rsidP="0032114B">
      <w:pPr>
        <w:spacing w:line="276" w:lineRule="auto"/>
        <w:jc w:val="center"/>
      </w:pPr>
    </w:p>
    <w:tbl>
      <w:tblPr>
        <w:tblStyle w:val="TableGrid"/>
        <w:tblW w:w="0" w:type="auto"/>
        <w:tblLook w:val="04A0" w:firstRow="1" w:lastRow="0" w:firstColumn="1" w:lastColumn="0" w:noHBand="0" w:noVBand="1"/>
      </w:tblPr>
      <w:tblGrid>
        <w:gridCol w:w="1655"/>
        <w:gridCol w:w="1314"/>
        <w:gridCol w:w="1316"/>
        <w:gridCol w:w="1316"/>
        <w:gridCol w:w="1316"/>
        <w:gridCol w:w="1316"/>
        <w:gridCol w:w="1316"/>
      </w:tblGrid>
      <w:tr w:rsidR="00166F0F" w:rsidRPr="0025373F" w:rsidTr="00721BE5">
        <w:tc>
          <w:tcPr>
            <w:tcW w:w="1655" w:type="dxa"/>
            <w:tcBorders>
              <w:right w:val="single" w:sz="12" w:space="0" w:color="auto"/>
            </w:tcBorders>
          </w:tcPr>
          <w:p w:rsidR="00166F0F" w:rsidRPr="004422B3" w:rsidRDefault="00166F0F" w:rsidP="00721BE5">
            <w:pPr>
              <w:spacing w:after="200" w:line="276" w:lineRule="auto"/>
              <w:rPr>
                <w:b/>
              </w:rPr>
            </w:pPr>
          </w:p>
        </w:tc>
        <w:tc>
          <w:tcPr>
            <w:tcW w:w="1314" w:type="dxa"/>
            <w:tcBorders>
              <w:left w:val="single" w:sz="12" w:space="0" w:color="auto"/>
            </w:tcBorders>
          </w:tcPr>
          <w:p w:rsidR="00166F0F" w:rsidRPr="00F0570C" w:rsidRDefault="00166F0F" w:rsidP="0042653E">
            <w:pPr>
              <w:spacing w:after="200" w:line="276" w:lineRule="auto"/>
              <w:jc w:val="center"/>
              <w:rPr>
                <w:b/>
                <w:u w:val="single"/>
              </w:rPr>
            </w:pPr>
            <w:r w:rsidRPr="00F0570C">
              <w:rPr>
                <w:b/>
                <w:u w:val="single"/>
              </w:rPr>
              <w:t xml:space="preserve">Scenario 1 </w:t>
            </w:r>
            <w:r w:rsidR="0042653E" w:rsidRPr="00F0570C">
              <w:rPr>
                <w:b/>
                <w:u w:val="single"/>
              </w:rPr>
              <w:t>with n</w:t>
            </w:r>
            <w:r w:rsidR="0025373F" w:rsidRPr="00F0570C">
              <w:rPr>
                <w:b/>
                <w:u w:val="single"/>
              </w:rPr>
              <w:t> </w:t>
            </w:r>
            <w:r w:rsidR="0042653E" w:rsidRPr="00F0570C">
              <w:rPr>
                <w:b/>
                <w:u w:val="single"/>
              </w:rPr>
              <w:t>=</w:t>
            </w:r>
            <w:r w:rsidR="0025373F" w:rsidRPr="00F0570C">
              <w:rPr>
                <w:b/>
                <w:u w:val="single"/>
              </w:rPr>
              <w:t> </w:t>
            </w:r>
            <w:r w:rsidR="0042653E" w:rsidRPr="00F0570C">
              <w:rPr>
                <w:b/>
                <w:u w:val="single"/>
              </w:rPr>
              <w:t>30</w:t>
            </w:r>
          </w:p>
        </w:tc>
        <w:tc>
          <w:tcPr>
            <w:tcW w:w="1316" w:type="dxa"/>
            <w:tcBorders>
              <w:left w:val="single" w:sz="12" w:space="0" w:color="auto"/>
            </w:tcBorders>
          </w:tcPr>
          <w:p w:rsidR="00166F0F" w:rsidRPr="00F0570C" w:rsidRDefault="00166F0F" w:rsidP="0042653E">
            <w:pPr>
              <w:spacing w:after="200" w:line="276" w:lineRule="auto"/>
              <w:jc w:val="center"/>
              <w:rPr>
                <w:b/>
                <w:u w:val="single"/>
              </w:rPr>
            </w:pPr>
            <w:r w:rsidRPr="00F0570C">
              <w:rPr>
                <w:b/>
                <w:u w:val="single"/>
              </w:rPr>
              <w:t xml:space="preserve">Scenario 1 </w:t>
            </w:r>
            <w:r w:rsidR="0042653E" w:rsidRPr="00F0570C">
              <w:rPr>
                <w:b/>
                <w:u w:val="single"/>
              </w:rPr>
              <w:t>with n</w:t>
            </w:r>
            <w:r w:rsidR="0025373F" w:rsidRPr="00F0570C">
              <w:rPr>
                <w:b/>
                <w:u w:val="single"/>
              </w:rPr>
              <w:t> </w:t>
            </w:r>
            <w:r w:rsidR="0042653E" w:rsidRPr="00F0570C">
              <w:rPr>
                <w:b/>
                <w:u w:val="single"/>
              </w:rPr>
              <w:t>=</w:t>
            </w:r>
            <w:r w:rsidR="0025373F" w:rsidRPr="00F0570C">
              <w:rPr>
                <w:b/>
                <w:u w:val="single"/>
              </w:rPr>
              <w:t> </w:t>
            </w:r>
            <w:r w:rsidR="0042653E" w:rsidRPr="00F0570C">
              <w:rPr>
                <w:b/>
                <w:u w:val="single"/>
              </w:rPr>
              <w:t>30</w:t>
            </w:r>
          </w:p>
        </w:tc>
        <w:tc>
          <w:tcPr>
            <w:tcW w:w="1316" w:type="dxa"/>
            <w:tcBorders>
              <w:left w:val="single" w:sz="12" w:space="0" w:color="auto"/>
            </w:tcBorders>
          </w:tcPr>
          <w:p w:rsidR="00166F0F" w:rsidRPr="00F0570C" w:rsidRDefault="00166F0F" w:rsidP="00721BE5">
            <w:pPr>
              <w:spacing w:after="200" w:line="276" w:lineRule="auto"/>
              <w:jc w:val="center"/>
              <w:rPr>
                <w:b/>
                <w:u w:val="single"/>
              </w:rPr>
            </w:pPr>
            <w:r w:rsidRPr="00F0570C">
              <w:rPr>
                <w:b/>
                <w:u w:val="single"/>
              </w:rPr>
              <w:t xml:space="preserve">Scenario 1 </w:t>
            </w:r>
            <w:r w:rsidR="0042653E" w:rsidRPr="00F0570C">
              <w:rPr>
                <w:b/>
                <w:u w:val="single"/>
              </w:rPr>
              <w:t>with n</w:t>
            </w:r>
            <w:r w:rsidR="0025373F" w:rsidRPr="00F0570C">
              <w:rPr>
                <w:b/>
                <w:u w:val="single"/>
              </w:rPr>
              <w:t> </w:t>
            </w:r>
            <w:r w:rsidR="0042653E" w:rsidRPr="00F0570C">
              <w:rPr>
                <w:b/>
                <w:u w:val="single"/>
              </w:rPr>
              <w:t>=</w:t>
            </w:r>
            <w:r w:rsidR="0025373F" w:rsidRPr="00F0570C">
              <w:rPr>
                <w:b/>
                <w:u w:val="single"/>
              </w:rPr>
              <w:t> </w:t>
            </w:r>
            <w:r w:rsidR="0042653E" w:rsidRPr="00F0570C">
              <w:rPr>
                <w:b/>
                <w:u w:val="single"/>
              </w:rPr>
              <w:t>30</w:t>
            </w:r>
          </w:p>
        </w:tc>
        <w:tc>
          <w:tcPr>
            <w:tcW w:w="1316" w:type="dxa"/>
            <w:tcBorders>
              <w:left w:val="single" w:sz="12" w:space="0" w:color="auto"/>
            </w:tcBorders>
          </w:tcPr>
          <w:p w:rsidR="00166F0F" w:rsidRPr="00F0570C" w:rsidRDefault="00166F0F" w:rsidP="0042653E">
            <w:pPr>
              <w:spacing w:after="200" w:line="276" w:lineRule="auto"/>
              <w:jc w:val="center"/>
              <w:rPr>
                <w:b/>
                <w:u w:val="single"/>
              </w:rPr>
            </w:pPr>
            <w:r w:rsidRPr="00F0570C">
              <w:rPr>
                <w:b/>
                <w:u w:val="single"/>
              </w:rPr>
              <w:t xml:space="preserve">Scenario 1 </w:t>
            </w:r>
            <w:r w:rsidR="0042653E" w:rsidRPr="00F0570C">
              <w:rPr>
                <w:b/>
                <w:u w:val="single"/>
              </w:rPr>
              <w:t>with n</w:t>
            </w:r>
            <w:r w:rsidR="0025373F" w:rsidRPr="00F0570C">
              <w:rPr>
                <w:b/>
                <w:u w:val="single"/>
              </w:rPr>
              <w:t> </w:t>
            </w:r>
            <w:r w:rsidR="0042653E" w:rsidRPr="00F0570C">
              <w:rPr>
                <w:b/>
                <w:u w:val="single"/>
              </w:rPr>
              <w:t>=</w:t>
            </w:r>
            <w:r w:rsidR="0025373F" w:rsidRPr="00F0570C">
              <w:rPr>
                <w:b/>
                <w:u w:val="single"/>
              </w:rPr>
              <w:t> </w:t>
            </w:r>
            <w:r w:rsidR="0042653E" w:rsidRPr="00F0570C">
              <w:rPr>
                <w:b/>
                <w:u w:val="single"/>
              </w:rPr>
              <w:t>10</w:t>
            </w:r>
          </w:p>
        </w:tc>
        <w:tc>
          <w:tcPr>
            <w:tcW w:w="1316" w:type="dxa"/>
            <w:tcBorders>
              <w:left w:val="single" w:sz="12" w:space="0" w:color="auto"/>
            </w:tcBorders>
          </w:tcPr>
          <w:p w:rsidR="00166F0F" w:rsidRPr="00F0570C" w:rsidRDefault="00166F0F" w:rsidP="00721BE5">
            <w:pPr>
              <w:spacing w:after="200" w:line="276" w:lineRule="auto"/>
              <w:jc w:val="center"/>
              <w:rPr>
                <w:b/>
                <w:u w:val="single"/>
              </w:rPr>
            </w:pPr>
            <w:r w:rsidRPr="00F0570C">
              <w:rPr>
                <w:b/>
                <w:u w:val="single"/>
              </w:rPr>
              <w:t xml:space="preserve">Scenario 1 </w:t>
            </w:r>
            <w:r w:rsidR="0042653E" w:rsidRPr="00F0570C">
              <w:rPr>
                <w:b/>
                <w:u w:val="single"/>
              </w:rPr>
              <w:t>with n</w:t>
            </w:r>
            <w:r w:rsidR="0025373F" w:rsidRPr="00F0570C">
              <w:rPr>
                <w:b/>
                <w:u w:val="single"/>
              </w:rPr>
              <w:t> </w:t>
            </w:r>
            <w:r w:rsidR="0042653E" w:rsidRPr="00F0570C">
              <w:rPr>
                <w:b/>
                <w:u w:val="single"/>
              </w:rPr>
              <w:t>=</w:t>
            </w:r>
            <w:r w:rsidR="0025373F" w:rsidRPr="00F0570C">
              <w:rPr>
                <w:b/>
                <w:u w:val="single"/>
              </w:rPr>
              <w:t> </w:t>
            </w:r>
            <w:r w:rsidR="0042653E" w:rsidRPr="00F0570C">
              <w:rPr>
                <w:b/>
                <w:u w:val="single"/>
              </w:rPr>
              <w:t>10</w:t>
            </w:r>
          </w:p>
        </w:tc>
        <w:tc>
          <w:tcPr>
            <w:tcW w:w="1316" w:type="dxa"/>
            <w:tcBorders>
              <w:left w:val="single" w:sz="12" w:space="0" w:color="auto"/>
            </w:tcBorders>
          </w:tcPr>
          <w:p w:rsidR="00166F0F" w:rsidRPr="00F0570C" w:rsidRDefault="00166F0F" w:rsidP="00721BE5">
            <w:pPr>
              <w:spacing w:after="200" w:line="276" w:lineRule="auto"/>
              <w:jc w:val="center"/>
              <w:rPr>
                <w:b/>
                <w:u w:val="single"/>
              </w:rPr>
            </w:pPr>
            <w:r w:rsidRPr="00F0570C">
              <w:rPr>
                <w:b/>
                <w:u w:val="single"/>
              </w:rPr>
              <w:t xml:space="preserve">Scenario 1 </w:t>
            </w:r>
            <w:r w:rsidR="0042653E" w:rsidRPr="00F0570C">
              <w:rPr>
                <w:b/>
                <w:u w:val="single"/>
              </w:rPr>
              <w:t>with n</w:t>
            </w:r>
            <w:r w:rsidR="0025373F" w:rsidRPr="00F0570C">
              <w:rPr>
                <w:b/>
                <w:u w:val="single"/>
              </w:rPr>
              <w:t> </w:t>
            </w:r>
            <w:r w:rsidR="0042653E" w:rsidRPr="00F0570C">
              <w:rPr>
                <w:b/>
                <w:u w:val="single"/>
              </w:rPr>
              <w:t>=</w:t>
            </w:r>
            <w:r w:rsidR="0025373F" w:rsidRPr="00F0570C">
              <w:rPr>
                <w:b/>
                <w:u w:val="single"/>
              </w:rPr>
              <w:t> </w:t>
            </w:r>
            <w:r w:rsidR="0042653E" w:rsidRPr="00F0570C">
              <w:rPr>
                <w:b/>
                <w:u w:val="single"/>
              </w:rPr>
              <w:t>10</w:t>
            </w:r>
          </w:p>
        </w:tc>
      </w:tr>
      <w:tr w:rsidR="00166F0F" w:rsidTr="00721BE5">
        <w:tc>
          <w:tcPr>
            <w:tcW w:w="1655" w:type="dxa"/>
            <w:tcBorders>
              <w:right w:val="single" w:sz="12" w:space="0" w:color="auto"/>
            </w:tcBorders>
          </w:tcPr>
          <w:p w:rsidR="00166F0F" w:rsidRDefault="00166F0F" w:rsidP="00721BE5">
            <w:pPr>
              <w:spacing w:after="200" w:line="276" w:lineRule="auto"/>
              <w:jc w:val="center"/>
            </w:pPr>
            <w:r>
              <w:t>t</w:t>
            </w:r>
          </w:p>
        </w:tc>
        <w:tc>
          <w:tcPr>
            <w:tcW w:w="1314" w:type="dxa"/>
            <w:tcBorders>
              <w:left w:val="single" w:sz="12" w:space="0" w:color="auto"/>
            </w:tcBorders>
          </w:tcPr>
          <w:p w:rsidR="00166F0F" w:rsidRDefault="00166F0F" w:rsidP="00721BE5">
            <w:pPr>
              <w:spacing w:after="200" w:line="276" w:lineRule="auto"/>
              <w:jc w:val="center"/>
            </w:pPr>
            <w:r>
              <w:t>28%</w:t>
            </w:r>
          </w:p>
        </w:tc>
        <w:tc>
          <w:tcPr>
            <w:tcW w:w="1316" w:type="dxa"/>
            <w:tcBorders>
              <w:left w:val="single" w:sz="12" w:space="0" w:color="auto"/>
            </w:tcBorders>
          </w:tcPr>
          <w:p w:rsidR="00166F0F" w:rsidRDefault="00166F0F" w:rsidP="00721BE5">
            <w:pPr>
              <w:spacing w:after="200" w:line="276" w:lineRule="auto"/>
              <w:jc w:val="center"/>
            </w:pPr>
            <w:r>
              <w:t>36.8%</w:t>
            </w:r>
          </w:p>
        </w:tc>
        <w:tc>
          <w:tcPr>
            <w:tcW w:w="1316" w:type="dxa"/>
            <w:tcBorders>
              <w:left w:val="single" w:sz="12" w:space="0" w:color="auto"/>
            </w:tcBorders>
          </w:tcPr>
          <w:p w:rsidR="00166F0F" w:rsidRDefault="00166F0F" w:rsidP="00721BE5">
            <w:pPr>
              <w:spacing w:after="200" w:line="276" w:lineRule="auto"/>
              <w:jc w:val="center"/>
            </w:pPr>
            <w:r>
              <w:t>43.4%</w:t>
            </w:r>
          </w:p>
        </w:tc>
        <w:tc>
          <w:tcPr>
            <w:tcW w:w="1316" w:type="dxa"/>
            <w:tcBorders>
              <w:left w:val="single" w:sz="12" w:space="0" w:color="auto"/>
            </w:tcBorders>
          </w:tcPr>
          <w:p w:rsidR="00166F0F" w:rsidRDefault="00166F0F" w:rsidP="00721BE5">
            <w:pPr>
              <w:spacing w:after="200" w:line="276" w:lineRule="auto"/>
              <w:jc w:val="center"/>
            </w:pPr>
            <w:r>
              <w:t>28%</w:t>
            </w:r>
          </w:p>
        </w:tc>
        <w:tc>
          <w:tcPr>
            <w:tcW w:w="1316" w:type="dxa"/>
            <w:tcBorders>
              <w:left w:val="single" w:sz="12" w:space="0" w:color="auto"/>
            </w:tcBorders>
          </w:tcPr>
          <w:p w:rsidR="00166F0F" w:rsidRDefault="00166F0F" w:rsidP="00721BE5">
            <w:pPr>
              <w:spacing w:after="200" w:line="276" w:lineRule="auto"/>
              <w:jc w:val="center"/>
            </w:pPr>
            <w:r>
              <w:t>36.8%</w:t>
            </w:r>
          </w:p>
        </w:tc>
        <w:tc>
          <w:tcPr>
            <w:tcW w:w="1316" w:type="dxa"/>
            <w:tcBorders>
              <w:left w:val="single" w:sz="12" w:space="0" w:color="auto"/>
            </w:tcBorders>
          </w:tcPr>
          <w:p w:rsidR="00166F0F" w:rsidRDefault="00166F0F" w:rsidP="00721BE5">
            <w:pPr>
              <w:spacing w:after="200" w:line="276" w:lineRule="auto"/>
              <w:jc w:val="center"/>
            </w:pPr>
            <w:r>
              <w:t>43.4%</w:t>
            </w:r>
          </w:p>
        </w:tc>
      </w:tr>
      <w:tr w:rsidR="00166F0F" w:rsidTr="00721BE5">
        <w:tc>
          <w:tcPr>
            <w:tcW w:w="1655" w:type="dxa"/>
            <w:tcBorders>
              <w:right w:val="single" w:sz="12" w:space="0" w:color="auto"/>
            </w:tcBorders>
          </w:tcPr>
          <w:p w:rsidR="00166F0F" w:rsidRDefault="00166F0F" w:rsidP="00721BE5">
            <w:pPr>
              <w:spacing w:after="200" w:line="276" w:lineRule="auto"/>
              <w:jc w:val="center"/>
            </w:pPr>
            <w:r>
              <w:t>g</w:t>
            </w:r>
          </w:p>
        </w:tc>
        <w:tc>
          <w:tcPr>
            <w:tcW w:w="1314" w:type="dxa"/>
            <w:tcBorders>
              <w:left w:val="single" w:sz="12" w:space="0" w:color="auto"/>
            </w:tcBorders>
          </w:tcPr>
          <w:p w:rsidR="00166F0F" w:rsidRDefault="00166F0F" w:rsidP="00721BE5">
            <w:pPr>
              <w:spacing w:after="200" w:line="276" w:lineRule="auto"/>
              <w:jc w:val="center"/>
            </w:pPr>
            <w:r>
              <w:t>15%</w:t>
            </w:r>
          </w:p>
        </w:tc>
        <w:tc>
          <w:tcPr>
            <w:tcW w:w="1316" w:type="dxa"/>
            <w:tcBorders>
              <w:left w:val="single" w:sz="12" w:space="0" w:color="auto"/>
            </w:tcBorders>
          </w:tcPr>
          <w:p w:rsidR="00166F0F" w:rsidRDefault="00166F0F" w:rsidP="00721BE5">
            <w:pPr>
              <w:spacing w:after="200" w:line="276" w:lineRule="auto"/>
              <w:jc w:val="center"/>
            </w:pPr>
            <w:r>
              <w:t>18.8%</w:t>
            </w:r>
          </w:p>
        </w:tc>
        <w:tc>
          <w:tcPr>
            <w:tcW w:w="1316" w:type="dxa"/>
            <w:tcBorders>
              <w:left w:val="single" w:sz="12" w:space="0" w:color="auto"/>
            </w:tcBorders>
          </w:tcPr>
          <w:p w:rsidR="00166F0F" w:rsidRDefault="00166F0F" w:rsidP="00721BE5">
            <w:pPr>
              <w:spacing w:after="200" w:line="276" w:lineRule="auto"/>
              <w:jc w:val="center"/>
            </w:pPr>
            <w:r>
              <w:t>23.8%</w:t>
            </w:r>
          </w:p>
        </w:tc>
        <w:tc>
          <w:tcPr>
            <w:tcW w:w="1316" w:type="dxa"/>
            <w:tcBorders>
              <w:left w:val="single" w:sz="12" w:space="0" w:color="auto"/>
            </w:tcBorders>
          </w:tcPr>
          <w:p w:rsidR="00166F0F" w:rsidRDefault="00166F0F" w:rsidP="00721BE5">
            <w:pPr>
              <w:spacing w:after="200" w:line="276" w:lineRule="auto"/>
              <w:jc w:val="center"/>
            </w:pPr>
            <w:r>
              <w:t>15%</w:t>
            </w:r>
          </w:p>
        </w:tc>
        <w:tc>
          <w:tcPr>
            <w:tcW w:w="1316" w:type="dxa"/>
            <w:tcBorders>
              <w:left w:val="single" w:sz="12" w:space="0" w:color="auto"/>
            </w:tcBorders>
          </w:tcPr>
          <w:p w:rsidR="00166F0F" w:rsidRDefault="00166F0F" w:rsidP="00721BE5">
            <w:pPr>
              <w:spacing w:after="200" w:line="276" w:lineRule="auto"/>
              <w:jc w:val="center"/>
            </w:pPr>
            <w:r>
              <w:t>18.8%</w:t>
            </w:r>
          </w:p>
        </w:tc>
        <w:tc>
          <w:tcPr>
            <w:tcW w:w="1316" w:type="dxa"/>
            <w:tcBorders>
              <w:left w:val="single" w:sz="12" w:space="0" w:color="auto"/>
            </w:tcBorders>
          </w:tcPr>
          <w:p w:rsidR="00166F0F" w:rsidRDefault="00166F0F" w:rsidP="00721BE5">
            <w:pPr>
              <w:spacing w:after="200" w:line="276" w:lineRule="auto"/>
              <w:jc w:val="center"/>
            </w:pPr>
            <w:r>
              <w:t>23.8%</w:t>
            </w:r>
          </w:p>
        </w:tc>
      </w:tr>
      <w:tr w:rsidR="00166F0F" w:rsidTr="00721BE5">
        <w:tc>
          <w:tcPr>
            <w:tcW w:w="1655" w:type="dxa"/>
            <w:tcBorders>
              <w:right w:val="single" w:sz="12" w:space="0" w:color="auto"/>
            </w:tcBorders>
          </w:tcPr>
          <w:p w:rsidR="00166F0F" w:rsidRDefault="00166F0F" w:rsidP="00721BE5">
            <w:pPr>
              <w:spacing w:after="200" w:line="276" w:lineRule="auto"/>
              <w:jc w:val="center"/>
            </w:pPr>
            <w:r>
              <w:t>t</w:t>
            </w:r>
            <w:r>
              <w:rPr>
                <w:vertAlign w:val="subscript"/>
              </w:rPr>
              <w:t>n</w:t>
            </w:r>
          </w:p>
        </w:tc>
        <w:tc>
          <w:tcPr>
            <w:tcW w:w="1314" w:type="dxa"/>
            <w:tcBorders>
              <w:left w:val="single" w:sz="12" w:space="0" w:color="auto"/>
            </w:tcBorders>
          </w:tcPr>
          <w:p w:rsidR="00166F0F" w:rsidRDefault="00166F0F" w:rsidP="00721BE5">
            <w:pPr>
              <w:spacing w:after="200" w:line="276" w:lineRule="auto"/>
              <w:jc w:val="center"/>
            </w:pPr>
            <w:r>
              <w:t>28%</w:t>
            </w:r>
          </w:p>
        </w:tc>
        <w:tc>
          <w:tcPr>
            <w:tcW w:w="1316" w:type="dxa"/>
            <w:tcBorders>
              <w:left w:val="single" w:sz="12" w:space="0" w:color="auto"/>
            </w:tcBorders>
          </w:tcPr>
          <w:p w:rsidR="00166F0F" w:rsidRDefault="00166F0F" w:rsidP="00721BE5">
            <w:pPr>
              <w:spacing w:after="200" w:line="276" w:lineRule="auto"/>
              <w:jc w:val="center"/>
            </w:pPr>
            <w:r>
              <w:t>36.8%</w:t>
            </w:r>
          </w:p>
        </w:tc>
        <w:tc>
          <w:tcPr>
            <w:tcW w:w="1316" w:type="dxa"/>
            <w:tcBorders>
              <w:left w:val="single" w:sz="12" w:space="0" w:color="auto"/>
            </w:tcBorders>
          </w:tcPr>
          <w:p w:rsidR="00166F0F" w:rsidRDefault="00166F0F" w:rsidP="00721BE5">
            <w:pPr>
              <w:spacing w:after="200" w:line="276" w:lineRule="auto"/>
              <w:jc w:val="center"/>
            </w:pPr>
            <w:r>
              <w:t>43.4%</w:t>
            </w:r>
          </w:p>
        </w:tc>
        <w:tc>
          <w:tcPr>
            <w:tcW w:w="1316" w:type="dxa"/>
            <w:tcBorders>
              <w:left w:val="single" w:sz="12" w:space="0" w:color="auto"/>
            </w:tcBorders>
          </w:tcPr>
          <w:p w:rsidR="00166F0F" w:rsidRDefault="00166F0F" w:rsidP="00721BE5">
            <w:pPr>
              <w:spacing w:after="200" w:line="276" w:lineRule="auto"/>
              <w:jc w:val="center"/>
            </w:pPr>
            <w:r>
              <w:t>28%</w:t>
            </w:r>
          </w:p>
        </w:tc>
        <w:tc>
          <w:tcPr>
            <w:tcW w:w="1316" w:type="dxa"/>
            <w:tcBorders>
              <w:left w:val="single" w:sz="12" w:space="0" w:color="auto"/>
            </w:tcBorders>
          </w:tcPr>
          <w:p w:rsidR="00166F0F" w:rsidRDefault="00166F0F" w:rsidP="00721BE5">
            <w:pPr>
              <w:spacing w:after="200" w:line="276" w:lineRule="auto"/>
              <w:jc w:val="center"/>
            </w:pPr>
            <w:r>
              <w:t>36.8%</w:t>
            </w:r>
          </w:p>
        </w:tc>
        <w:tc>
          <w:tcPr>
            <w:tcW w:w="1316" w:type="dxa"/>
            <w:tcBorders>
              <w:left w:val="single" w:sz="12" w:space="0" w:color="auto"/>
            </w:tcBorders>
          </w:tcPr>
          <w:p w:rsidR="00166F0F" w:rsidRDefault="00166F0F" w:rsidP="00721BE5">
            <w:pPr>
              <w:spacing w:after="200" w:line="276" w:lineRule="auto"/>
              <w:jc w:val="center"/>
            </w:pPr>
            <w:r>
              <w:t>43.4%</w:t>
            </w:r>
          </w:p>
        </w:tc>
      </w:tr>
      <w:tr w:rsidR="00166F0F" w:rsidTr="00721BE5">
        <w:tc>
          <w:tcPr>
            <w:tcW w:w="1655" w:type="dxa"/>
            <w:tcBorders>
              <w:right w:val="single" w:sz="12" w:space="0" w:color="auto"/>
            </w:tcBorders>
          </w:tcPr>
          <w:p w:rsidR="00166F0F" w:rsidRDefault="00166F0F" w:rsidP="00721BE5">
            <w:pPr>
              <w:spacing w:after="200" w:line="276" w:lineRule="auto"/>
              <w:jc w:val="center"/>
            </w:pPr>
            <w:r>
              <w:t>g</w:t>
            </w:r>
            <w:r>
              <w:rPr>
                <w:vertAlign w:val="subscript"/>
              </w:rPr>
              <w:t>n</w:t>
            </w:r>
          </w:p>
        </w:tc>
        <w:tc>
          <w:tcPr>
            <w:tcW w:w="1314" w:type="dxa"/>
            <w:tcBorders>
              <w:left w:val="single" w:sz="12" w:space="0" w:color="auto"/>
            </w:tcBorders>
          </w:tcPr>
          <w:p w:rsidR="00166F0F" w:rsidRDefault="00166F0F" w:rsidP="00721BE5">
            <w:pPr>
              <w:spacing w:after="200" w:line="276" w:lineRule="auto"/>
              <w:jc w:val="center"/>
            </w:pPr>
            <w:r>
              <w:t>15%</w:t>
            </w:r>
          </w:p>
        </w:tc>
        <w:tc>
          <w:tcPr>
            <w:tcW w:w="1316" w:type="dxa"/>
            <w:tcBorders>
              <w:left w:val="single" w:sz="12" w:space="0" w:color="auto"/>
            </w:tcBorders>
          </w:tcPr>
          <w:p w:rsidR="00166F0F" w:rsidRDefault="00166F0F" w:rsidP="00721BE5">
            <w:pPr>
              <w:spacing w:after="200" w:line="276" w:lineRule="auto"/>
              <w:jc w:val="center"/>
            </w:pPr>
            <w:r>
              <w:t>18.8%</w:t>
            </w:r>
          </w:p>
        </w:tc>
        <w:tc>
          <w:tcPr>
            <w:tcW w:w="1316" w:type="dxa"/>
            <w:tcBorders>
              <w:left w:val="single" w:sz="12" w:space="0" w:color="auto"/>
            </w:tcBorders>
          </w:tcPr>
          <w:p w:rsidR="00166F0F" w:rsidRDefault="00166F0F" w:rsidP="00721BE5">
            <w:pPr>
              <w:spacing w:after="200" w:line="276" w:lineRule="auto"/>
              <w:jc w:val="center"/>
            </w:pPr>
            <w:r>
              <w:t>23.8%</w:t>
            </w:r>
          </w:p>
        </w:tc>
        <w:tc>
          <w:tcPr>
            <w:tcW w:w="1316" w:type="dxa"/>
            <w:tcBorders>
              <w:left w:val="single" w:sz="12" w:space="0" w:color="auto"/>
            </w:tcBorders>
          </w:tcPr>
          <w:p w:rsidR="00166F0F" w:rsidRDefault="00166F0F" w:rsidP="00721BE5">
            <w:pPr>
              <w:spacing w:after="200" w:line="276" w:lineRule="auto"/>
              <w:jc w:val="center"/>
            </w:pPr>
            <w:r>
              <w:t>15%</w:t>
            </w:r>
          </w:p>
        </w:tc>
        <w:tc>
          <w:tcPr>
            <w:tcW w:w="1316" w:type="dxa"/>
            <w:tcBorders>
              <w:left w:val="single" w:sz="12" w:space="0" w:color="auto"/>
            </w:tcBorders>
          </w:tcPr>
          <w:p w:rsidR="00166F0F" w:rsidRDefault="00166F0F" w:rsidP="00721BE5">
            <w:pPr>
              <w:spacing w:after="200" w:line="276" w:lineRule="auto"/>
              <w:jc w:val="center"/>
            </w:pPr>
            <w:r>
              <w:t>18.8%</w:t>
            </w:r>
          </w:p>
        </w:tc>
        <w:tc>
          <w:tcPr>
            <w:tcW w:w="1316" w:type="dxa"/>
            <w:tcBorders>
              <w:left w:val="single" w:sz="12" w:space="0" w:color="auto"/>
            </w:tcBorders>
          </w:tcPr>
          <w:p w:rsidR="00166F0F" w:rsidRDefault="00166F0F" w:rsidP="00721BE5">
            <w:pPr>
              <w:spacing w:after="200" w:line="276" w:lineRule="auto"/>
              <w:jc w:val="center"/>
            </w:pPr>
            <w:r>
              <w:t>23.8%</w:t>
            </w:r>
          </w:p>
        </w:tc>
      </w:tr>
      <w:tr w:rsidR="00166F0F" w:rsidTr="00721BE5">
        <w:tc>
          <w:tcPr>
            <w:tcW w:w="1655" w:type="dxa"/>
            <w:tcBorders>
              <w:right w:val="single" w:sz="12" w:space="0" w:color="auto"/>
            </w:tcBorders>
          </w:tcPr>
          <w:p w:rsidR="00166F0F" w:rsidRDefault="00166F0F" w:rsidP="00721BE5">
            <w:pPr>
              <w:spacing w:after="200" w:line="276" w:lineRule="auto"/>
              <w:jc w:val="center"/>
            </w:pPr>
            <w:r>
              <w:rPr>
                <w:u w:val="single"/>
              </w:rPr>
              <w:t>[1] ATFV: Stocks In – Bonds Out</w:t>
            </w:r>
          </w:p>
        </w:tc>
        <w:tc>
          <w:tcPr>
            <w:tcW w:w="1314" w:type="dxa"/>
            <w:tcBorders>
              <w:left w:val="single" w:sz="12" w:space="0" w:color="auto"/>
            </w:tcBorders>
          </w:tcPr>
          <w:p w:rsidR="00166F0F" w:rsidRPr="00AF5DB2" w:rsidRDefault="00166F0F" w:rsidP="00721BE5">
            <w:pPr>
              <w:spacing w:after="200" w:line="276" w:lineRule="auto"/>
              <w:jc w:val="center"/>
            </w:pPr>
            <w:r w:rsidRPr="00AF5DB2">
              <w:t>$</w:t>
            </w:r>
            <w:r w:rsidR="00361A23">
              <w:t>223</w:t>
            </w:r>
            <w:r>
              <w:t>,</w:t>
            </w:r>
            <w:r w:rsidR="00361A23">
              <w:t>317</w:t>
            </w:r>
          </w:p>
        </w:tc>
        <w:tc>
          <w:tcPr>
            <w:tcW w:w="1316" w:type="dxa"/>
            <w:tcBorders>
              <w:left w:val="single" w:sz="12" w:space="0" w:color="auto"/>
            </w:tcBorders>
          </w:tcPr>
          <w:p w:rsidR="00166F0F" w:rsidRPr="00AF5DB2" w:rsidRDefault="00166F0F" w:rsidP="00721BE5">
            <w:pPr>
              <w:spacing w:after="200" w:line="276" w:lineRule="auto"/>
              <w:jc w:val="center"/>
            </w:pPr>
            <w:r w:rsidRPr="00AF5DB2">
              <w:t>$</w:t>
            </w:r>
            <w:r w:rsidR="00361A23">
              <w:t>1</w:t>
            </w:r>
            <w:r>
              <w:t>9</w:t>
            </w:r>
            <w:r w:rsidR="00361A23">
              <w:t>2</w:t>
            </w:r>
            <w:r>
              <w:t>,</w:t>
            </w:r>
            <w:r w:rsidR="00361A23">
              <w:t>404</w:t>
            </w:r>
          </w:p>
        </w:tc>
        <w:tc>
          <w:tcPr>
            <w:tcW w:w="1316" w:type="dxa"/>
            <w:tcBorders>
              <w:left w:val="single" w:sz="12" w:space="0" w:color="auto"/>
            </w:tcBorders>
          </w:tcPr>
          <w:p w:rsidR="00166F0F" w:rsidRPr="00AF5DB2" w:rsidRDefault="00166F0F" w:rsidP="00721BE5">
            <w:pPr>
              <w:spacing w:after="200" w:line="276" w:lineRule="auto"/>
              <w:jc w:val="center"/>
            </w:pPr>
            <w:r w:rsidRPr="00AF5DB2">
              <w:t>$</w:t>
            </w:r>
            <w:r w:rsidR="00361A23">
              <w:t>170</w:t>
            </w:r>
            <w:r>
              <w:t>,0</w:t>
            </w:r>
            <w:r w:rsidR="00361A23">
              <w:t>84</w:t>
            </w:r>
          </w:p>
        </w:tc>
        <w:tc>
          <w:tcPr>
            <w:tcW w:w="1316" w:type="dxa"/>
            <w:tcBorders>
              <w:left w:val="single" w:sz="12" w:space="0" w:color="auto"/>
            </w:tcBorders>
          </w:tcPr>
          <w:p w:rsidR="00166F0F" w:rsidRPr="00AF5DB2" w:rsidRDefault="00166F0F" w:rsidP="00361A23">
            <w:pPr>
              <w:spacing w:after="200" w:line="276" w:lineRule="auto"/>
              <w:jc w:val="center"/>
            </w:pPr>
            <w:r w:rsidRPr="00AF5DB2">
              <w:t>$</w:t>
            </w:r>
            <w:r w:rsidR="00361A23">
              <w:t>62</w:t>
            </w:r>
            <w:r>
              <w:t>,</w:t>
            </w:r>
            <w:r w:rsidR="00361A23">
              <w:t>771</w:t>
            </w:r>
          </w:p>
        </w:tc>
        <w:tc>
          <w:tcPr>
            <w:tcW w:w="1316" w:type="dxa"/>
            <w:tcBorders>
              <w:left w:val="single" w:sz="12" w:space="0" w:color="auto"/>
            </w:tcBorders>
          </w:tcPr>
          <w:p w:rsidR="00166F0F" w:rsidRPr="00AF5DB2" w:rsidRDefault="00166F0F" w:rsidP="00721BE5">
            <w:pPr>
              <w:spacing w:after="200" w:line="276" w:lineRule="auto"/>
              <w:jc w:val="center"/>
            </w:pPr>
            <w:r w:rsidRPr="00AF5DB2">
              <w:t>$</w:t>
            </w:r>
            <w:r w:rsidR="00361A23">
              <w:t>54</w:t>
            </w:r>
            <w:r>
              <w:t>,</w:t>
            </w:r>
            <w:r w:rsidR="00361A23">
              <w:t>392</w:t>
            </w:r>
          </w:p>
        </w:tc>
        <w:tc>
          <w:tcPr>
            <w:tcW w:w="1316" w:type="dxa"/>
            <w:tcBorders>
              <w:left w:val="single" w:sz="12" w:space="0" w:color="auto"/>
            </w:tcBorders>
          </w:tcPr>
          <w:p w:rsidR="00166F0F" w:rsidRPr="00AF5DB2" w:rsidRDefault="00166F0F" w:rsidP="00721BE5">
            <w:pPr>
              <w:spacing w:after="200" w:line="276" w:lineRule="auto"/>
              <w:jc w:val="center"/>
            </w:pPr>
            <w:r w:rsidRPr="00AF5DB2">
              <w:t>$</w:t>
            </w:r>
            <w:r w:rsidR="00361A23">
              <w:t>48</w:t>
            </w:r>
            <w:r>
              <w:t>,</w:t>
            </w:r>
            <w:r w:rsidR="00361A23">
              <w:t>249</w:t>
            </w:r>
          </w:p>
        </w:tc>
      </w:tr>
      <w:tr w:rsidR="00166F0F" w:rsidTr="00721BE5">
        <w:tc>
          <w:tcPr>
            <w:tcW w:w="1655" w:type="dxa"/>
            <w:tcBorders>
              <w:right w:val="single" w:sz="12" w:space="0" w:color="auto"/>
            </w:tcBorders>
          </w:tcPr>
          <w:p w:rsidR="00166F0F" w:rsidRPr="006E00B2" w:rsidRDefault="00166F0F" w:rsidP="00721BE5">
            <w:pPr>
              <w:spacing w:after="200" w:line="276" w:lineRule="auto"/>
              <w:jc w:val="center"/>
              <w:rPr>
                <w:u w:val="single"/>
              </w:rPr>
            </w:pPr>
            <w:r>
              <w:rPr>
                <w:u w:val="single"/>
              </w:rPr>
              <w:t>[2] ATFV: Bonds In – Stocks Out</w:t>
            </w:r>
          </w:p>
        </w:tc>
        <w:tc>
          <w:tcPr>
            <w:tcW w:w="1314" w:type="dxa"/>
            <w:tcBorders>
              <w:left w:val="single" w:sz="12" w:space="0" w:color="auto"/>
            </w:tcBorders>
          </w:tcPr>
          <w:p w:rsidR="00166F0F" w:rsidRPr="00AF5DB2" w:rsidRDefault="00166F0F" w:rsidP="00721BE5">
            <w:pPr>
              <w:spacing w:after="200" w:line="276" w:lineRule="auto"/>
              <w:jc w:val="center"/>
              <w:rPr>
                <w:u w:val="single"/>
              </w:rPr>
            </w:pPr>
            <w:r w:rsidRPr="00AF5DB2">
              <w:rPr>
                <w:u w:val="single"/>
              </w:rPr>
              <w:t>$</w:t>
            </w:r>
            <w:r w:rsidR="00361A23">
              <w:rPr>
                <w:u w:val="single"/>
              </w:rPr>
              <w:t>207</w:t>
            </w:r>
            <w:r>
              <w:rPr>
                <w:u w:val="single"/>
              </w:rPr>
              <w:t>,</w:t>
            </w:r>
            <w:r w:rsidR="00361A23">
              <w:rPr>
                <w:u w:val="single"/>
              </w:rPr>
              <w:t>636</w:t>
            </w:r>
          </w:p>
        </w:tc>
        <w:tc>
          <w:tcPr>
            <w:tcW w:w="1316" w:type="dxa"/>
            <w:tcBorders>
              <w:left w:val="single" w:sz="12" w:space="0" w:color="auto"/>
            </w:tcBorders>
          </w:tcPr>
          <w:p w:rsidR="00166F0F" w:rsidRDefault="00166F0F" w:rsidP="00721BE5">
            <w:pPr>
              <w:spacing w:after="200" w:line="276" w:lineRule="auto"/>
              <w:jc w:val="center"/>
              <w:rPr>
                <w:u w:val="single"/>
              </w:rPr>
            </w:pPr>
            <w:r w:rsidRPr="00AF5DB2">
              <w:rPr>
                <w:u w:val="single"/>
              </w:rPr>
              <w:t>$</w:t>
            </w:r>
            <w:r w:rsidR="00361A23">
              <w:rPr>
                <w:u w:val="single"/>
              </w:rPr>
              <w:t>17</w:t>
            </w:r>
            <w:r>
              <w:rPr>
                <w:u w:val="single"/>
              </w:rPr>
              <w:t>5,</w:t>
            </w:r>
            <w:r w:rsidR="00361A23">
              <w:rPr>
                <w:u w:val="single"/>
              </w:rPr>
              <w:t>593</w:t>
            </w:r>
          </w:p>
          <w:p w:rsidR="00166F0F" w:rsidRPr="00AF5DB2" w:rsidRDefault="00166F0F" w:rsidP="00721BE5">
            <w:pPr>
              <w:spacing w:after="200" w:line="276" w:lineRule="auto"/>
              <w:jc w:val="center"/>
              <w:rPr>
                <w:u w:val="single"/>
              </w:rPr>
            </w:pPr>
          </w:p>
        </w:tc>
        <w:tc>
          <w:tcPr>
            <w:tcW w:w="1316" w:type="dxa"/>
            <w:tcBorders>
              <w:left w:val="single" w:sz="12" w:space="0" w:color="auto"/>
            </w:tcBorders>
          </w:tcPr>
          <w:p w:rsidR="00166F0F" w:rsidRPr="00AF5DB2" w:rsidRDefault="00166F0F" w:rsidP="00721BE5">
            <w:pPr>
              <w:spacing w:after="200" w:line="276" w:lineRule="auto"/>
              <w:jc w:val="center"/>
              <w:rPr>
                <w:u w:val="single"/>
              </w:rPr>
            </w:pPr>
            <w:r w:rsidRPr="00AF5DB2">
              <w:rPr>
                <w:u w:val="single"/>
              </w:rPr>
              <w:t>$</w:t>
            </w:r>
            <w:r w:rsidR="00361A23">
              <w:rPr>
                <w:u w:val="single"/>
              </w:rPr>
              <w:t>149</w:t>
            </w:r>
            <w:r>
              <w:rPr>
                <w:u w:val="single"/>
              </w:rPr>
              <w:t>,</w:t>
            </w:r>
            <w:r w:rsidR="00361A23">
              <w:rPr>
                <w:u w:val="single"/>
              </w:rPr>
              <w:t>625</w:t>
            </w:r>
          </w:p>
        </w:tc>
        <w:tc>
          <w:tcPr>
            <w:tcW w:w="1316" w:type="dxa"/>
            <w:tcBorders>
              <w:left w:val="single" w:sz="12" w:space="0" w:color="auto"/>
            </w:tcBorders>
          </w:tcPr>
          <w:p w:rsidR="00166F0F" w:rsidRPr="00AF5DB2" w:rsidRDefault="00166F0F" w:rsidP="00361A23">
            <w:pPr>
              <w:spacing w:after="200" w:line="276" w:lineRule="auto"/>
              <w:jc w:val="center"/>
              <w:rPr>
                <w:u w:val="single"/>
              </w:rPr>
            </w:pPr>
            <w:r w:rsidRPr="00AF5DB2">
              <w:rPr>
                <w:u w:val="single"/>
              </w:rPr>
              <w:t>$</w:t>
            </w:r>
            <w:r w:rsidR="00361A23">
              <w:rPr>
                <w:u w:val="single"/>
              </w:rPr>
              <w:t>62</w:t>
            </w:r>
            <w:r>
              <w:rPr>
                <w:u w:val="single"/>
              </w:rPr>
              <w:t>,</w:t>
            </w:r>
            <w:r w:rsidR="00361A23">
              <w:rPr>
                <w:u w:val="single"/>
              </w:rPr>
              <w:t>125</w:t>
            </w:r>
          </w:p>
        </w:tc>
        <w:tc>
          <w:tcPr>
            <w:tcW w:w="1316" w:type="dxa"/>
            <w:tcBorders>
              <w:left w:val="single" w:sz="12" w:space="0" w:color="auto"/>
            </w:tcBorders>
          </w:tcPr>
          <w:p w:rsidR="00166F0F" w:rsidRDefault="00166F0F" w:rsidP="00721BE5">
            <w:pPr>
              <w:spacing w:after="200" w:line="276" w:lineRule="auto"/>
              <w:jc w:val="center"/>
              <w:rPr>
                <w:u w:val="single"/>
              </w:rPr>
            </w:pPr>
            <w:r w:rsidRPr="00AF5DB2">
              <w:rPr>
                <w:u w:val="single"/>
              </w:rPr>
              <w:t>$</w:t>
            </w:r>
            <w:r w:rsidR="00361A23">
              <w:rPr>
                <w:u w:val="single"/>
              </w:rPr>
              <w:t>53</w:t>
            </w:r>
            <w:r>
              <w:rPr>
                <w:u w:val="single"/>
              </w:rPr>
              <w:t>,</w:t>
            </w:r>
            <w:r w:rsidR="00361A23">
              <w:rPr>
                <w:u w:val="single"/>
              </w:rPr>
              <w:t>794</w:t>
            </w:r>
          </w:p>
          <w:p w:rsidR="00166F0F" w:rsidRPr="00AF5DB2" w:rsidRDefault="00166F0F" w:rsidP="00721BE5">
            <w:pPr>
              <w:spacing w:after="200" w:line="276" w:lineRule="auto"/>
              <w:jc w:val="center"/>
              <w:rPr>
                <w:u w:val="single"/>
              </w:rPr>
            </w:pPr>
          </w:p>
        </w:tc>
        <w:tc>
          <w:tcPr>
            <w:tcW w:w="1316" w:type="dxa"/>
            <w:tcBorders>
              <w:left w:val="single" w:sz="12" w:space="0" w:color="auto"/>
            </w:tcBorders>
          </w:tcPr>
          <w:p w:rsidR="00166F0F" w:rsidRPr="00AF5DB2" w:rsidRDefault="00166F0F" w:rsidP="00721BE5">
            <w:pPr>
              <w:spacing w:after="200" w:line="276" w:lineRule="auto"/>
              <w:jc w:val="center"/>
              <w:rPr>
                <w:u w:val="single"/>
              </w:rPr>
            </w:pPr>
            <w:r w:rsidRPr="00AF5DB2">
              <w:rPr>
                <w:u w:val="single"/>
              </w:rPr>
              <w:t>$</w:t>
            </w:r>
            <w:r w:rsidR="00361A23">
              <w:rPr>
                <w:u w:val="single"/>
              </w:rPr>
              <w:t>47</w:t>
            </w:r>
            <w:r>
              <w:rPr>
                <w:u w:val="single"/>
              </w:rPr>
              <w:t>,</w:t>
            </w:r>
            <w:r w:rsidR="00361A23">
              <w:rPr>
                <w:u w:val="single"/>
              </w:rPr>
              <w:t>312</w:t>
            </w:r>
          </w:p>
        </w:tc>
      </w:tr>
      <w:tr w:rsidR="00166F0F" w:rsidTr="00721BE5">
        <w:tc>
          <w:tcPr>
            <w:tcW w:w="1655" w:type="dxa"/>
            <w:tcBorders>
              <w:right w:val="single" w:sz="12" w:space="0" w:color="auto"/>
            </w:tcBorders>
          </w:tcPr>
          <w:p w:rsidR="00166F0F" w:rsidRDefault="00166F0F" w:rsidP="00721BE5">
            <w:pPr>
              <w:spacing w:after="200" w:line="276" w:lineRule="auto"/>
              <w:jc w:val="center"/>
            </w:pPr>
            <w:r>
              <w:t>[1] – [2] = [3] Difference</w:t>
            </w:r>
          </w:p>
        </w:tc>
        <w:tc>
          <w:tcPr>
            <w:tcW w:w="1314" w:type="dxa"/>
            <w:tcBorders>
              <w:left w:val="single" w:sz="12" w:space="0" w:color="auto"/>
            </w:tcBorders>
          </w:tcPr>
          <w:p w:rsidR="00166F0F" w:rsidRPr="00AF5DB2" w:rsidRDefault="00166F0F" w:rsidP="00721BE5">
            <w:pPr>
              <w:spacing w:after="200" w:line="276" w:lineRule="auto"/>
              <w:jc w:val="center"/>
            </w:pPr>
            <w:r w:rsidRPr="00AF5DB2">
              <w:t>$</w:t>
            </w:r>
            <w:r w:rsidR="0042653E">
              <w:t>15,681</w:t>
            </w:r>
          </w:p>
        </w:tc>
        <w:tc>
          <w:tcPr>
            <w:tcW w:w="1316" w:type="dxa"/>
            <w:tcBorders>
              <w:left w:val="single" w:sz="12" w:space="0" w:color="auto"/>
            </w:tcBorders>
          </w:tcPr>
          <w:p w:rsidR="00166F0F" w:rsidRPr="00AF5DB2" w:rsidRDefault="00166F0F" w:rsidP="00721BE5">
            <w:pPr>
              <w:spacing w:after="200" w:line="276" w:lineRule="auto"/>
              <w:jc w:val="center"/>
            </w:pPr>
            <w:r w:rsidRPr="00AF5DB2">
              <w:t>$</w:t>
            </w:r>
            <w:r w:rsidR="0042653E">
              <w:t>16,811</w:t>
            </w:r>
          </w:p>
        </w:tc>
        <w:tc>
          <w:tcPr>
            <w:tcW w:w="1316" w:type="dxa"/>
            <w:tcBorders>
              <w:left w:val="single" w:sz="12" w:space="0" w:color="auto"/>
            </w:tcBorders>
          </w:tcPr>
          <w:p w:rsidR="00166F0F" w:rsidRPr="00AF5DB2" w:rsidRDefault="00166F0F" w:rsidP="00721BE5">
            <w:pPr>
              <w:spacing w:after="200" w:line="276" w:lineRule="auto"/>
              <w:jc w:val="center"/>
            </w:pPr>
            <w:r w:rsidRPr="00AF5DB2">
              <w:t>$</w:t>
            </w:r>
            <w:r w:rsidR="0042653E">
              <w:t>20,459</w:t>
            </w:r>
          </w:p>
        </w:tc>
        <w:tc>
          <w:tcPr>
            <w:tcW w:w="1316" w:type="dxa"/>
            <w:tcBorders>
              <w:left w:val="single" w:sz="12" w:space="0" w:color="auto"/>
            </w:tcBorders>
          </w:tcPr>
          <w:p w:rsidR="00166F0F" w:rsidRPr="00AF5DB2" w:rsidRDefault="00166F0F" w:rsidP="00721BE5">
            <w:pPr>
              <w:spacing w:after="200" w:line="276" w:lineRule="auto"/>
              <w:jc w:val="center"/>
            </w:pPr>
            <w:r w:rsidRPr="00AF5DB2">
              <w:t>$</w:t>
            </w:r>
            <w:r w:rsidR="0042653E">
              <w:t>646</w:t>
            </w:r>
          </w:p>
        </w:tc>
        <w:tc>
          <w:tcPr>
            <w:tcW w:w="1316" w:type="dxa"/>
            <w:tcBorders>
              <w:left w:val="single" w:sz="12" w:space="0" w:color="auto"/>
            </w:tcBorders>
          </w:tcPr>
          <w:p w:rsidR="00166F0F" w:rsidRPr="00AF5DB2" w:rsidRDefault="00166F0F" w:rsidP="00721BE5">
            <w:pPr>
              <w:spacing w:after="200" w:line="276" w:lineRule="auto"/>
              <w:jc w:val="center"/>
            </w:pPr>
            <w:r w:rsidRPr="00AF5DB2">
              <w:t>$</w:t>
            </w:r>
            <w:r w:rsidR="0042653E">
              <w:t>598</w:t>
            </w:r>
          </w:p>
        </w:tc>
        <w:tc>
          <w:tcPr>
            <w:tcW w:w="1316" w:type="dxa"/>
            <w:tcBorders>
              <w:left w:val="single" w:sz="12" w:space="0" w:color="auto"/>
            </w:tcBorders>
          </w:tcPr>
          <w:p w:rsidR="00166F0F" w:rsidRPr="00AF5DB2" w:rsidRDefault="00166F0F" w:rsidP="00721BE5">
            <w:pPr>
              <w:spacing w:after="200" w:line="276" w:lineRule="auto"/>
              <w:jc w:val="center"/>
            </w:pPr>
            <w:r w:rsidRPr="00AF5DB2">
              <w:t>$</w:t>
            </w:r>
            <w:r w:rsidR="0042653E">
              <w:t>937</w:t>
            </w:r>
          </w:p>
        </w:tc>
      </w:tr>
      <w:tr w:rsidR="00166F0F" w:rsidTr="00721BE5">
        <w:tc>
          <w:tcPr>
            <w:tcW w:w="1655" w:type="dxa"/>
            <w:tcBorders>
              <w:right w:val="single" w:sz="12" w:space="0" w:color="auto"/>
            </w:tcBorders>
          </w:tcPr>
          <w:p w:rsidR="00166F0F" w:rsidRDefault="00166F0F" w:rsidP="00721BE5">
            <w:pPr>
              <w:spacing w:after="200" w:line="276" w:lineRule="auto"/>
              <w:jc w:val="center"/>
            </w:pPr>
            <w:r>
              <w:t>[3] / [2] Percentage Increase</w:t>
            </w:r>
          </w:p>
        </w:tc>
        <w:tc>
          <w:tcPr>
            <w:tcW w:w="1314" w:type="dxa"/>
            <w:tcBorders>
              <w:left w:val="single" w:sz="12" w:space="0" w:color="auto"/>
            </w:tcBorders>
          </w:tcPr>
          <w:p w:rsidR="00166F0F" w:rsidRDefault="0042653E" w:rsidP="0042653E">
            <w:pPr>
              <w:spacing w:after="200" w:line="276" w:lineRule="auto"/>
              <w:jc w:val="center"/>
            </w:pPr>
            <w:r>
              <w:t>7</w:t>
            </w:r>
            <w:r w:rsidR="00166F0F">
              <w:t>.</w:t>
            </w:r>
            <w:r>
              <w:t>6</w:t>
            </w:r>
            <w:r w:rsidR="00166F0F">
              <w:t>%</w:t>
            </w:r>
          </w:p>
        </w:tc>
        <w:tc>
          <w:tcPr>
            <w:tcW w:w="1316" w:type="dxa"/>
            <w:tcBorders>
              <w:left w:val="single" w:sz="12" w:space="0" w:color="auto"/>
            </w:tcBorders>
          </w:tcPr>
          <w:p w:rsidR="00166F0F" w:rsidRDefault="0042653E" w:rsidP="0042653E">
            <w:pPr>
              <w:spacing w:after="200" w:line="276" w:lineRule="auto"/>
              <w:jc w:val="center"/>
            </w:pPr>
            <w:r>
              <w:t>9</w:t>
            </w:r>
            <w:r w:rsidR="00166F0F">
              <w:t>.</w:t>
            </w:r>
            <w:r>
              <w:t>6</w:t>
            </w:r>
            <w:r w:rsidR="00166F0F">
              <w:t>%</w:t>
            </w:r>
          </w:p>
        </w:tc>
        <w:tc>
          <w:tcPr>
            <w:tcW w:w="1316" w:type="dxa"/>
            <w:tcBorders>
              <w:left w:val="single" w:sz="12" w:space="0" w:color="auto"/>
            </w:tcBorders>
          </w:tcPr>
          <w:p w:rsidR="00166F0F" w:rsidRDefault="0042653E" w:rsidP="0042653E">
            <w:pPr>
              <w:spacing w:after="200" w:line="276" w:lineRule="auto"/>
              <w:jc w:val="center"/>
            </w:pPr>
            <w:r>
              <w:t>13</w:t>
            </w:r>
            <w:r w:rsidR="00166F0F">
              <w:t>.</w:t>
            </w:r>
            <w:r>
              <w:t>7</w:t>
            </w:r>
            <w:r w:rsidR="00166F0F">
              <w:t>%</w:t>
            </w:r>
          </w:p>
        </w:tc>
        <w:tc>
          <w:tcPr>
            <w:tcW w:w="1316" w:type="dxa"/>
            <w:tcBorders>
              <w:left w:val="single" w:sz="12" w:space="0" w:color="auto"/>
            </w:tcBorders>
          </w:tcPr>
          <w:p w:rsidR="00166F0F" w:rsidRDefault="0042653E" w:rsidP="0042653E">
            <w:pPr>
              <w:spacing w:after="200" w:line="276" w:lineRule="auto"/>
              <w:jc w:val="center"/>
            </w:pPr>
            <w:r>
              <w:t>1</w:t>
            </w:r>
            <w:r w:rsidR="00166F0F">
              <w:t>.</w:t>
            </w:r>
            <w:r>
              <w:t>0</w:t>
            </w:r>
            <w:r w:rsidR="00166F0F">
              <w:t>%</w:t>
            </w:r>
          </w:p>
        </w:tc>
        <w:tc>
          <w:tcPr>
            <w:tcW w:w="1316" w:type="dxa"/>
            <w:tcBorders>
              <w:left w:val="single" w:sz="12" w:space="0" w:color="auto"/>
            </w:tcBorders>
          </w:tcPr>
          <w:p w:rsidR="00166F0F" w:rsidRDefault="0042653E" w:rsidP="0042653E">
            <w:pPr>
              <w:spacing w:after="200" w:line="276" w:lineRule="auto"/>
              <w:jc w:val="center"/>
            </w:pPr>
            <w:r>
              <w:t>1</w:t>
            </w:r>
            <w:r w:rsidR="00166F0F">
              <w:t>.</w:t>
            </w:r>
            <w:r>
              <w:t>1</w:t>
            </w:r>
            <w:r w:rsidR="00166F0F">
              <w:t>%</w:t>
            </w:r>
          </w:p>
        </w:tc>
        <w:tc>
          <w:tcPr>
            <w:tcW w:w="1316" w:type="dxa"/>
            <w:tcBorders>
              <w:left w:val="single" w:sz="12" w:space="0" w:color="auto"/>
            </w:tcBorders>
          </w:tcPr>
          <w:p w:rsidR="00166F0F" w:rsidRDefault="0042653E" w:rsidP="0042653E">
            <w:pPr>
              <w:spacing w:after="200" w:line="276" w:lineRule="auto"/>
              <w:jc w:val="center"/>
            </w:pPr>
            <w:r>
              <w:t>2</w:t>
            </w:r>
            <w:r w:rsidR="00166F0F">
              <w:t>.</w:t>
            </w:r>
            <w:r>
              <w:t>0</w:t>
            </w:r>
            <w:r w:rsidR="00166F0F">
              <w:t>%</w:t>
            </w:r>
          </w:p>
        </w:tc>
      </w:tr>
    </w:tbl>
    <w:p w:rsidR="008A4B6E" w:rsidRDefault="008A4B6E" w:rsidP="00EA1D80">
      <w:pPr>
        <w:spacing w:line="276" w:lineRule="auto"/>
      </w:pPr>
    </w:p>
    <w:p w:rsidR="00951A49" w:rsidRDefault="00951A49" w:rsidP="00EA1D80">
      <w:pPr>
        <w:spacing w:line="276" w:lineRule="auto"/>
      </w:pPr>
    </w:p>
    <w:p w:rsidR="00212149" w:rsidRPr="009D724A" w:rsidRDefault="00F36BD0" w:rsidP="00B52F5B">
      <w:pPr>
        <w:spacing w:after="200" w:line="480" w:lineRule="auto"/>
        <w:ind w:firstLine="720"/>
      </w:pPr>
      <w:r>
        <w:t>Table 4’s results are c</w:t>
      </w:r>
      <w:r w:rsidR="00212149">
        <w:t>onsistent with the results in Table 2: the percentage by which Stocks In – Bonds Out increases wealth by more than Bonds In – Stocks Out when n is only 10 years is much slimmer, ranging from 1.0% to 2.0%</w:t>
      </w:r>
      <w:r w:rsidR="00F0570C">
        <w:t xml:space="preserve"> (last three columns)</w:t>
      </w:r>
      <w:r w:rsidR="00212149">
        <w:t>, than in Table 3 when n = 20 years; and when n increases to 30 years</w:t>
      </w:r>
      <w:r w:rsidR="00B152E5">
        <w:t>,</w:t>
      </w:r>
      <w:r w:rsidR="00212149">
        <w:t xml:space="preserve"> then the percentage by which Stocks In – Bonds Out increases wealth is a lot larger, ranging from 7.6% to 13.7%</w:t>
      </w:r>
      <w:r w:rsidR="00F0570C">
        <w:t xml:space="preserve"> (first three columns)</w:t>
      </w:r>
      <w:r w:rsidR="00212149">
        <w:t>, than it was in Table 3 when n was only 20 years.</w:t>
      </w:r>
    </w:p>
    <w:p w:rsidR="00D85E86" w:rsidRDefault="00D85E86">
      <w:pPr>
        <w:spacing w:after="200" w:line="276" w:lineRule="auto"/>
        <w:rPr>
          <w:b/>
        </w:rPr>
      </w:pPr>
      <w:r>
        <w:rPr>
          <w:b/>
        </w:rPr>
        <w:br w:type="page"/>
      </w:r>
    </w:p>
    <w:p w:rsidR="00BD5CB8" w:rsidRPr="00951A49" w:rsidRDefault="00FE09F0" w:rsidP="0027184B">
      <w:pPr>
        <w:spacing w:line="480" w:lineRule="auto"/>
        <w:rPr>
          <w:b/>
        </w:rPr>
      </w:pPr>
      <w:r>
        <w:rPr>
          <w:b/>
        </w:rPr>
        <w:lastRenderedPageBreak/>
        <w:t>Break-</w:t>
      </w:r>
      <w:r w:rsidR="00951A49">
        <w:rPr>
          <w:b/>
        </w:rPr>
        <w:t>E</w:t>
      </w:r>
      <w:r>
        <w:rPr>
          <w:b/>
        </w:rPr>
        <w:t>ven Analysis</w:t>
      </w:r>
    </w:p>
    <w:p w:rsidR="00BD5CB8" w:rsidRDefault="00BD5CB8" w:rsidP="0027184B">
      <w:pPr>
        <w:spacing w:line="480" w:lineRule="auto"/>
      </w:pPr>
    </w:p>
    <w:p w:rsidR="00BD5CB8" w:rsidRPr="00BD5CB8" w:rsidRDefault="00C90D86" w:rsidP="00B52F5B">
      <w:pPr>
        <w:spacing w:line="480" w:lineRule="auto"/>
        <w:ind w:firstLine="720"/>
      </w:pPr>
      <w:r>
        <w:t xml:space="preserve">So </w:t>
      </w:r>
      <w:r w:rsidR="00BD5CB8">
        <w:t xml:space="preserve">should bonds </w:t>
      </w:r>
      <w:r>
        <w:t xml:space="preserve">ever </w:t>
      </w:r>
      <w:r w:rsidR="00BD5CB8">
        <w:t xml:space="preserve">be placed inside </w:t>
      </w:r>
      <w:r>
        <w:t xml:space="preserve">retirement accounts </w:t>
      </w:r>
      <w:r w:rsidR="00BD5CB8">
        <w:t>and stocks placed outside</w:t>
      </w:r>
      <w:r>
        <w:t xml:space="preserve"> in taxable accounts</w:t>
      </w:r>
      <w:r w:rsidR="00BD5CB8">
        <w:t xml:space="preserve">? If </w:t>
      </w:r>
      <w:r w:rsidR="00212149">
        <w:t xml:space="preserve">a </w:t>
      </w:r>
      <w:r w:rsidR="00BD5CB8">
        <w:t>financial adviser expect</w:t>
      </w:r>
      <w:r w:rsidR="00212149">
        <w:t>s</w:t>
      </w:r>
      <w:r w:rsidR="00BD5CB8">
        <w:t xml:space="preserve"> the return on bonds to be substantially higher than 4% and/or the return on stocks to be substantially lower than 8%, then </w:t>
      </w:r>
      <w:r>
        <w:t xml:space="preserve">rerunning earlier </w:t>
      </w:r>
      <w:r w:rsidR="00BD5CB8">
        <w:t xml:space="preserve">scenarios </w:t>
      </w:r>
      <w:r>
        <w:t xml:space="preserve">with such revised returns </w:t>
      </w:r>
      <w:r w:rsidR="00212149">
        <w:t>c</w:t>
      </w:r>
      <w:r w:rsidR="00BD5CB8">
        <w:t xml:space="preserve">ould lead to the conclusion that </w:t>
      </w:r>
      <w:r w:rsidR="00212149">
        <w:t>the traditional view is correct</w:t>
      </w:r>
      <w:r w:rsidR="0064797E">
        <w:t>:</w:t>
      </w:r>
      <w:r w:rsidR="00212149">
        <w:t xml:space="preserve"> </w:t>
      </w:r>
      <w:r w:rsidR="00BD5CB8">
        <w:t>Bond</w:t>
      </w:r>
      <w:r>
        <w:t>s</w:t>
      </w:r>
      <w:r w:rsidR="00BD5CB8">
        <w:t xml:space="preserve"> In – Stock</w:t>
      </w:r>
      <w:r>
        <w:t>s</w:t>
      </w:r>
      <w:r w:rsidR="00BD5CB8">
        <w:t xml:space="preserve"> Out is wealth maximizing. The </w:t>
      </w:r>
      <w:r w:rsidR="00FE09F0">
        <w:t>break-even line</w:t>
      </w:r>
      <w:r w:rsidR="00EF29B5">
        <w:t>s</w:t>
      </w:r>
      <w:r w:rsidR="00BD5CB8">
        <w:t xml:space="preserve"> in Figure </w:t>
      </w:r>
      <w:r w:rsidR="00105352">
        <w:t>2</w:t>
      </w:r>
      <w:r w:rsidR="00BD5CB8">
        <w:t xml:space="preserve"> </w:t>
      </w:r>
      <w:r w:rsidR="00FE09F0">
        <w:t xml:space="preserve">represent </w:t>
      </w:r>
      <w:r w:rsidR="00BD5CB8">
        <w:t>when the ATFV of Bond</w:t>
      </w:r>
      <w:r>
        <w:t>s</w:t>
      </w:r>
      <w:r w:rsidR="00BD5CB8">
        <w:t xml:space="preserve"> In – Stock</w:t>
      </w:r>
      <w:r>
        <w:t>s</w:t>
      </w:r>
      <w:r w:rsidR="00BD5CB8">
        <w:t xml:space="preserve"> Out equals Stock</w:t>
      </w:r>
      <w:r>
        <w:t>s</w:t>
      </w:r>
      <w:r w:rsidR="00BD5CB8">
        <w:t xml:space="preserve"> In – Bond</w:t>
      </w:r>
      <w:r>
        <w:t>s</w:t>
      </w:r>
      <w:r w:rsidR="00BD5CB8">
        <w:t xml:space="preserve"> Out given n = 20 years</w:t>
      </w:r>
      <w:r w:rsidR="00E6321E">
        <w:t xml:space="preserve">, the stock does not pay any annual dividends (i.e., the return </w:t>
      </w:r>
      <w:r w:rsidR="004835BF">
        <w:t xml:space="preserve">on stocks </w:t>
      </w:r>
      <w:r w:rsidR="00E6321E">
        <w:t>is all appreciation), and the four most common sets of tax ra</w:t>
      </w:r>
      <w:r w:rsidR="004835BF">
        <w:t>tes for relatively higher</w:t>
      </w:r>
      <w:r w:rsidR="0064797E">
        <w:t>-</w:t>
      </w:r>
      <w:r w:rsidR="004835BF">
        <w:t>tax</w:t>
      </w:r>
      <w:r w:rsidR="0064797E">
        <w:t>-</w:t>
      </w:r>
      <w:r w:rsidR="004835BF">
        <w:t xml:space="preserve">rate </w:t>
      </w:r>
      <w:r w:rsidR="00E6321E">
        <w:t xml:space="preserve">individuals (i.e., </w:t>
      </w:r>
      <w:r w:rsidR="00BD5CB8">
        <w:t>t = 25%, g = 15%</w:t>
      </w:r>
      <w:r w:rsidR="00E6321E">
        <w:t>; t = 28%, g = 15%; t = 36.8%, g = 18.8%; and t = 43.4%, g = 23.8%</w:t>
      </w:r>
      <w:r w:rsidR="00BD5CB8">
        <w:t>).</w:t>
      </w:r>
      <w:r w:rsidR="00FE09F0">
        <w:rPr>
          <w:rStyle w:val="EndnoteReference"/>
        </w:rPr>
        <w:endnoteReference w:id="19"/>
      </w:r>
      <w:r w:rsidR="00BD5CB8">
        <w:t xml:space="preserve"> If the combination of R</w:t>
      </w:r>
      <w:r w:rsidR="00BD5CB8">
        <w:rPr>
          <w:vertAlign w:val="subscript"/>
        </w:rPr>
        <w:t>S</w:t>
      </w:r>
      <w:r w:rsidR="00BD5CB8">
        <w:t xml:space="preserve"> and R</w:t>
      </w:r>
      <w:r w:rsidR="00BD5CB8">
        <w:rPr>
          <w:vertAlign w:val="subscript"/>
        </w:rPr>
        <w:t>B</w:t>
      </w:r>
      <w:r w:rsidR="00BD5CB8">
        <w:t xml:space="preserve"> is </w:t>
      </w:r>
      <w:r w:rsidR="004835BF">
        <w:t>northwest</w:t>
      </w:r>
      <w:r w:rsidR="00BD5CB8">
        <w:t xml:space="preserve"> of the </w:t>
      </w:r>
      <w:r w:rsidR="00FE09F0">
        <w:t xml:space="preserve">break-even </w:t>
      </w:r>
      <w:r w:rsidR="00BD5CB8">
        <w:t>line</w:t>
      </w:r>
      <w:r w:rsidR="0064797E">
        <w:t>,</w:t>
      </w:r>
      <w:r w:rsidR="00BD5CB8">
        <w:t xml:space="preserve"> </w:t>
      </w:r>
      <w:r w:rsidR="00A43D9A">
        <w:t>then Stock</w:t>
      </w:r>
      <w:r>
        <w:t>s</w:t>
      </w:r>
      <w:r w:rsidR="00A43D9A">
        <w:t xml:space="preserve"> In – Bond</w:t>
      </w:r>
      <w:r>
        <w:t>s</w:t>
      </w:r>
      <w:r w:rsidR="00A43D9A">
        <w:t xml:space="preserve"> Out is wealth maximizing</w:t>
      </w:r>
      <w:r w:rsidR="0064797E">
        <w:t>,</w:t>
      </w:r>
      <w:r w:rsidR="00A43D9A">
        <w:t xml:space="preserve"> and if </w:t>
      </w:r>
      <w:r w:rsidR="004835BF">
        <w:t xml:space="preserve">southeast </w:t>
      </w:r>
      <w:r w:rsidR="00A43D9A">
        <w:t xml:space="preserve">of the </w:t>
      </w:r>
      <w:r w:rsidR="00FE09F0">
        <w:t>break-even</w:t>
      </w:r>
      <w:r w:rsidR="00A43D9A">
        <w:t xml:space="preserve"> line</w:t>
      </w:r>
      <w:r w:rsidR="0064797E">
        <w:t>,</w:t>
      </w:r>
      <w:r w:rsidR="00A43D9A">
        <w:t xml:space="preserve"> then Bond</w:t>
      </w:r>
      <w:r>
        <w:t>s</w:t>
      </w:r>
      <w:r w:rsidR="00A43D9A">
        <w:t xml:space="preserve"> In – Stock</w:t>
      </w:r>
      <w:r>
        <w:t>s</w:t>
      </w:r>
      <w:r w:rsidR="00A43D9A">
        <w:t xml:space="preserve"> Out is wealth maximizing.</w:t>
      </w:r>
    </w:p>
    <w:p w:rsidR="00E57D54" w:rsidRDefault="00E57D54">
      <w:pPr>
        <w:spacing w:after="200" w:line="276" w:lineRule="auto"/>
        <w:rPr>
          <w:b/>
        </w:rPr>
      </w:pPr>
    </w:p>
    <w:p w:rsidR="00D85E86" w:rsidRDefault="00D85E86">
      <w:pPr>
        <w:spacing w:after="200" w:line="276" w:lineRule="auto"/>
        <w:rPr>
          <w:b/>
        </w:rPr>
      </w:pPr>
      <w:r>
        <w:rPr>
          <w:b/>
        </w:rPr>
        <w:br w:type="page"/>
      </w:r>
    </w:p>
    <w:p w:rsidR="00BD5CB8" w:rsidRDefault="00E57D54" w:rsidP="004835BF">
      <w:pPr>
        <w:spacing w:line="276" w:lineRule="auto"/>
        <w:jc w:val="center"/>
        <w:rPr>
          <w:b/>
        </w:rPr>
      </w:pPr>
      <w:r>
        <w:rPr>
          <w:b/>
        </w:rPr>
        <w:lastRenderedPageBreak/>
        <w:t xml:space="preserve">Figure </w:t>
      </w:r>
      <w:r w:rsidR="00105352">
        <w:rPr>
          <w:b/>
        </w:rPr>
        <w:t>2</w:t>
      </w:r>
      <w:r>
        <w:rPr>
          <w:b/>
        </w:rPr>
        <w:t>: Break-</w:t>
      </w:r>
      <w:r w:rsidR="00951A49">
        <w:rPr>
          <w:b/>
        </w:rPr>
        <w:t>E</w:t>
      </w:r>
      <w:r>
        <w:rPr>
          <w:b/>
        </w:rPr>
        <w:t xml:space="preserve">ven </w:t>
      </w:r>
      <w:r w:rsidR="004835BF">
        <w:rPr>
          <w:b/>
        </w:rPr>
        <w:t>L</w:t>
      </w:r>
      <w:r>
        <w:rPr>
          <w:b/>
        </w:rPr>
        <w:t>ine</w:t>
      </w:r>
      <w:r w:rsidR="00EF29B5">
        <w:rPr>
          <w:b/>
        </w:rPr>
        <w:t xml:space="preserve">s </w:t>
      </w:r>
      <w:r w:rsidR="00FE09F0">
        <w:rPr>
          <w:b/>
        </w:rPr>
        <w:t>for</w:t>
      </w:r>
      <w:r>
        <w:rPr>
          <w:b/>
        </w:rPr>
        <w:t xml:space="preserve"> </w:t>
      </w:r>
      <w:r w:rsidR="004835BF">
        <w:rPr>
          <w:b/>
        </w:rPr>
        <w:t>the Return</w:t>
      </w:r>
      <w:r w:rsidR="003E4626">
        <w:rPr>
          <w:b/>
        </w:rPr>
        <w:t>s</w:t>
      </w:r>
      <w:r w:rsidR="004835BF">
        <w:rPr>
          <w:b/>
        </w:rPr>
        <w:t xml:space="preserve"> on Stocks and Bonds </w:t>
      </w:r>
      <w:r w:rsidR="0064797E">
        <w:rPr>
          <w:b/>
        </w:rPr>
        <w:t>G</w:t>
      </w:r>
      <w:r w:rsidR="004835BF">
        <w:rPr>
          <w:b/>
        </w:rPr>
        <w:t xml:space="preserve">iven that </w:t>
      </w:r>
      <w:r>
        <w:rPr>
          <w:b/>
        </w:rPr>
        <w:t xml:space="preserve">n = 20 </w:t>
      </w:r>
      <w:r w:rsidR="006E1555">
        <w:rPr>
          <w:b/>
        </w:rPr>
        <w:t>Y</w:t>
      </w:r>
      <w:r>
        <w:rPr>
          <w:b/>
        </w:rPr>
        <w:t>ears</w:t>
      </w:r>
      <w:r w:rsidR="00EF29B5">
        <w:rPr>
          <w:b/>
        </w:rPr>
        <w:t xml:space="preserve"> </w:t>
      </w:r>
    </w:p>
    <w:p w:rsidR="004835BF" w:rsidRDefault="004835BF" w:rsidP="00EA1D80">
      <w:pPr>
        <w:spacing w:line="276" w:lineRule="auto"/>
        <w:rPr>
          <w:b/>
        </w:rPr>
      </w:pPr>
      <w:r>
        <w:rPr>
          <w:noProof/>
        </w:rPr>
        <w:drawing>
          <wp:inline distT="0" distB="0" distL="0" distR="0" wp14:anchorId="415DEE0B" wp14:editId="4B81E32D">
            <wp:extent cx="5943600" cy="3959225"/>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4F3" w:rsidRDefault="00A304F3" w:rsidP="00EA1D80">
      <w:pPr>
        <w:spacing w:line="276" w:lineRule="auto"/>
        <w:rPr>
          <w:b/>
        </w:rPr>
      </w:pPr>
    </w:p>
    <w:p w:rsidR="00FC58D4" w:rsidRDefault="00FC58D4" w:rsidP="00EA1D80">
      <w:pPr>
        <w:spacing w:line="276" w:lineRule="auto"/>
      </w:pPr>
    </w:p>
    <w:p w:rsidR="00CD02AA" w:rsidRDefault="00A304F3" w:rsidP="00B52F5B">
      <w:pPr>
        <w:spacing w:line="480" w:lineRule="auto"/>
        <w:ind w:firstLine="720"/>
      </w:pPr>
      <w:r>
        <w:t xml:space="preserve">The </w:t>
      </w:r>
      <w:r w:rsidR="009C458D">
        <w:t>break-even line</w:t>
      </w:r>
      <w:r w:rsidR="004835BF">
        <w:t xml:space="preserve">s </w:t>
      </w:r>
      <w:r w:rsidR="009C458D">
        <w:t xml:space="preserve">for </w:t>
      </w:r>
      <w:r>
        <w:t xml:space="preserve">all four </w:t>
      </w:r>
      <w:r w:rsidR="008015D4">
        <w:t xml:space="preserve">sets </w:t>
      </w:r>
      <w:r w:rsidR="009C458D">
        <w:t>of tax rates</w:t>
      </w:r>
      <w:r>
        <w:t xml:space="preserve"> are similar</w:t>
      </w:r>
      <w:r w:rsidR="009C458D">
        <w:t>.</w:t>
      </w:r>
      <w:r w:rsidR="008015D4">
        <w:t xml:space="preserve"> </w:t>
      </w:r>
      <w:r w:rsidR="005E69CD">
        <w:t xml:space="preserve">The dashed line assumes that t is 25% and g is 15%. </w:t>
      </w:r>
      <w:r w:rsidR="004835BF">
        <w:t xml:space="preserve">The dashed-dotted line </w:t>
      </w:r>
      <w:r w:rsidR="008015D4">
        <w:t>assume</w:t>
      </w:r>
      <w:r w:rsidR="004835BF">
        <w:t>s</w:t>
      </w:r>
      <w:r w:rsidR="008015D4">
        <w:t xml:space="preserve"> the ordinary tax rate is three percentage points higher (i.e., t = 28%) and </w:t>
      </w:r>
      <w:r w:rsidR="00CD02AA">
        <w:t xml:space="preserve">g is 15%. Both lines, thus, </w:t>
      </w:r>
      <w:r w:rsidR="008015D4">
        <w:t xml:space="preserve">assume the 3.8% </w:t>
      </w:r>
      <w:r w:rsidR="004835BF">
        <w:t>M</w:t>
      </w:r>
      <w:r w:rsidR="008015D4">
        <w:t xml:space="preserve">edicare surtax does not apply </w:t>
      </w:r>
      <w:r w:rsidR="00CD02AA">
        <w:t xml:space="preserve">(i.e., </w:t>
      </w:r>
      <w:r w:rsidR="0005211D">
        <w:t>a</w:t>
      </w:r>
      <w:r w:rsidR="00CD02AA">
        <w:t xml:space="preserve">djusted </w:t>
      </w:r>
      <w:r w:rsidR="0005211D">
        <w:t>g</w:t>
      </w:r>
      <w:r w:rsidR="00CD02AA">
        <w:t xml:space="preserve">ross </w:t>
      </w:r>
      <w:r w:rsidR="0005211D">
        <w:t>i</w:t>
      </w:r>
      <w:r w:rsidR="00CD02AA">
        <w:t>ncome is not above $250,000 for a married couple filing one joint tax return and not above $200,000 for an individual with a single filing status</w:t>
      </w:r>
      <w:r w:rsidR="003E4626">
        <w:t>)</w:t>
      </w:r>
      <w:r w:rsidR="00CD02AA">
        <w:t xml:space="preserve">. </w:t>
      </w:r>
      <w:r w:rsidR="00210681">
        <w:t>The indifference points are w</w:t>
      </w:r>
      <w:r w:rsidR="00CD02AA">
        <w:t>hen R</w:t>
      </w:r>
      <w:r w:rsidR="00CD02AA">
        <w:rPr>
          <w:vertAlign w:val="subscript"/>
        </w:rPr>
        <w:t>B</w:t>
      </w:r>
      <w:r w:rsidR="00CD02AA">
        <w:t xml:space="preserve"> = 4.0%</w:t>
      </w:r>
      <w:r w:rsidR="00210681">
        <w:t xml:space="preserve"> and</w:t>
      </w:r>
      <w:r w:rsidR="00CD02AA">
        <w:t xml:space="preserve"> R</w:t>
      </w:r>
      <w:r w:rsidR="00CD02AA">
        <w:rPr>
          <w:vertAlign w:val="subscript"/>
        </w:rPr>
        <w:t>S</w:t>
      </w:r>
      <w:r w:rsidR="00CD02AA">
        <w:t xml:space="preserve"> = 6.56% for the former tax rates and R</w:t>
      </w:r>
      <w:r w:rsidR="00CD02AA">
        <w:rPr>
          <w:vertAlign w:val="subscript"/>
        </w:rPr>
        <w:t>S</w:t>
      </w:r>
      <w:r w:rsidR="00CD02AA">
        <w:t xml:space="preserve"> = 6.96% for the latter tax rates.</w:t>
      </w:r>
    </w:p>
    <w:p w:rsidR="00827640" w:rsidRDefault="00CD02AA" w:rsidP="00B52F5B">
      <w:pPr>
        <w:spacing w:line="480" w:lineRule="auto"/>
        <w:ind w:firstLine="720"/>
      </w:pPr>
      <w:r>
        <w:t>The dotted line</w:t>
      </w:r>
      <w:r w:rsidR="008015D4">
        <w:t xml:space="preserve"> </w:t>
      </w:r>
      <w:r w:rsidR="009C458D">
        <w:t>assume</w:t>
      </w:r>
      <w:r>
        <w:t>s</w:t>
      </w:r>
      <w:r w:rsidR="009C458D">
        <w:t xml:space="preserve"> the ordinary tax rate is 36.8% (i.e., </w:t>
      </w:r>
      <w:r w:rsidR="006E1555">
        <w:t xml:space="preserve">the </w:t>
      </w:r>
      <w:r w:rsidR="009C458D">
        <w:t xml:space="preserve">33% ordinary tax rate added together with the 3.8% </w:t>
      </w:r>
      <w:r>
        <w:t>M</w:t>
      </w:r>
      <w:r w:rsidR="009C458D">
        <w:t>edicare surtax on interest income</w:t>
      </w:r>
      <w:r w:rsidR="00FC58D4">
        <w:t xml:space="preserve">). Given such ordinary tax rate, the long-term capital gain </w:t>
      </w:r>
      <w:r w:rsidR="003E4626">
        <w:t xml:space="preserve">income </w:t>
      </w:r>
      <w:r w:rsidR="00FC58D4">
        <w:t xml:space="preserve">tax rate is 18.8% (i.e., </w:t>
      </w:r>
      <w:r w:rsidR="00212149">
        <w:t xml:space="preserve">the </w:t>
      </w:r>
      <w:r w:rsidR="00FC58D4">
        <w:t xml:space="preserve">15% </w:t>
      </w:r>
      <w:r w:rsidR="000A7170">
        <w:t>favorable</w:t>
      </w:r>
      <w:r w:rsidR="00FC58D4">
        <w:t xml:space="preserve"> tax rate added </w:t>
      </w:r>
      <w:r w:rsidR="00FC58D4">
        <w:lastRenderedPageBreak/>
        <w:t xml:space="preserve">together with the 3.8% </w:t>
      </w:r>
      <w:r>
        <w:t>M</w:t>
      </w:r>
      <w:r w:rsidR="00FC58D4">
        <w:t>edicare surtax</w:t>
      </w:r>
      <w:r>
        <w:t xml:space="preserve"> on long-term capital gain income</w:t>
      </w:r>
      <w:r w:rsidR="00FC58D4">
        <w:t>).</w:t>
      </w:r>
      <w:r>
        <w:t xml:space="preserve"> </w:t>
      </w:r>
      <w:r w:rsidR="00FC58D4">
        <w:t xml:space="preserve">The </w:t>
      </w:r>
      <w:r>
        <w:t>dotted</w:t>
      </w:r>
      <w:r w:rsidR="00827640">
        <w:t xml:space="preserve"> </w:t>
      </w:r>
      <w:r w:rsidR="00FC58D4">
        <w:t xml:space="preserve">line is </w:t>
      </w:r>
      <w:r w:rsidR="00655A3D">
        <w:t xml:space="preserve">very similar to </w:t>
      </w:r>
      <w:r w:rsidR="00D66086">
        <w:t>the dotted-dashed line (</w:t>
      </w:r>
      <w:r w:rsidR="003E4626">
        <w:t xml:space="preserve">i.e., </w:t>
      </w:r>
      <w:r w:rsidR="00D66086">
        <w:t>t = 28% and g = 15%)</w:t>
      </w:r>
      <w:r w:rsidR="00FC58D4">
        <w:t xml:space="preserve">. </w:t>
      </w:r>
      <w:r w:rsidR="00B538B3">
        <w:t xml:space="preserve">For instance, </w:t>
      </w:r>
      <w:r w:rsidR="00210681">
        <w:t xml:space="preserve">the indifference points are </w:t>
      </w:r>
      <w:r w:rsidR="00FC58D4">
        <w:t>when R</w:t>
      </w:r>
      <w:r w:rsidR="00FC58D4">
        <w:rPr>
          <w:vertAlign w:val="subscript"/>
        </w:rPr>
        <w:t>B</w:t>
      </w:r>
      <w:r w:rsidR="00FC58D4">
        <w:t xml:space="preserve"> = </w:t>
      </w:r>
      <w:r w:rsidR="00655A3D">
        <w:t>4</w:t>
      </w:r>
      <w:r w:rsidR="00FC58D4">
        <w:t>.0%</w:t>
      </w:r>
      <w:r w:rsidR="00210681">
        <w:t xml:space="preserve"> and</w:t>
      </w:r>
      <w:r w:rsidR="00FC58D4">
        <w:t xml:space="preserve"> R</w:t>
      </w:r>
      <w:r w:rsidR="00FC58D4">
        <w:rPr>
          <w:vertAlign w:val="subscript"/>
        </w:rPr>
        <w:t>S</w:t>
      </w:r>
      <w:r w:rsidR="00FC58D4">
        <w:t xml:space="preserve"> = </w:t>
      </w:r>
      <w:r w:rsidR="00655A3D">
        <w:t>7</w:t>
      </w:r>
      <w:r w:rsidR="00B538B3">
        <w:t>.</w:t>
      </w:r>
      <w:r w:rsidR="00655A3D">
        <w:t>03</w:t>
      </w:r>
      <w:r w:rsidR="00B538B3">
        <w:t>%</w:t>
      </w:r>
      <w:r w:rsidR="00D66086">
        <w:t xml:space="preserve"> for the dotted line and R</w:t>
      </w:r>
      <w:r w:rsidR="00D66086">
        <w:rPr>
          <w:vertAlign w:val="subscript"/>
        </w:rPr>
        <w:t>S</w:t>
      </w:r>
      <w:r w:rsidR="00B538B3">
        <w:t xml:space="preserve"> </w:t>
      </w:r>
      <w:r w:rsidR="00D66086">
        <w:t>=</w:t>
      </w:r>
      <w:r w:rsidR="00655A3D">
        <w:t xml:space="preserve"> 6.</w:t>
      </w:r>
      <w:r w:rsidR="00B538B3">
        <w:t xml:space="preserve">96% </w:t>
      </w:r>
      <w:r w:rsidR="00D66086">
        <w:t>for the dotted-dashed line</w:t>
      </w:r>
      <w:r w:rsidR="00B538B3">
        <w:t>.</w:t>
      </w:r>
    </w:p>
    <w:p w:rsidR="00827640" w:rsidRPr="00A304F3" w:rsidRDefault="00B538B3" w:rsidP="00B52F5B">
      <w:pPr>
        <w:spacing w:line="480" w:lineRule="auto"/>
        <w:ind w:firstLine="720"/>
        <w:rPr>
          <w:b/>
        </w:rPr>
      </w:pPr>
      <w:r>
        <w:t xml:space="preserve">The </w:t>
      </w:r>
      <w:r w:rsidR="00655A3D">
        <w:t xml:space="preserve">final </w:t>
      </w:r>
      <w:r w:rsidR="00FC58D4">
        <w:t xml:space="preserve">break-even line </w:t>
      </w:r>
      <w:r>
        <w:t xml:space="preserve">to discuss is </w:t>
      </w:r>
      <w:r w:rsidR="00FC58D4">
        <w:t>for a taxpayer in the highest possible federal tax rate</w:t>
      </w:r>
      <w:r w:rsidR="00F36BD0">
        <w:t xml:space="preserve"> bracket</w:t>
      </w:r>
      <w:r w:rsidR="00FC58D4">
        <w:t xml:space="preserve">. Specifically, </w:t>
      </w:r>
      <w:r w:rsidR="000170CE">
        <w:t xml:space="preserve">it is </w:t>
      </w:r>
      <w:r w:rsidR="00FC58D4">
        <w:t>assume</w:t>
      </w:r>
      <w:r w:rsidR="000170CE">
        <w:t>d that</w:t>
      </w:r>
      <w:r w:rsidR="00FC58D4">
        <w:t xml:space="preserve"> the ordinary tax rate is 43.4% (i.e., </w:t>
      </w:r>
      <w:r w:rsidR="00E86737">
        <w:t xml:space="preserve">the </w:t>
      </w:r>
      <w:r w:rsidR="00FC58D4">
        <w:t xml:space="preserve">39.6% top ordinary tax rate added together with the 3.8% </w:t>
      </w:r>
      <w:r w:rsidR="00CD02AA">
        <w:t>M</w:t>
      </w:r>
      <w:r w:rsidR="00FC58D4">
        <w:t>edicare surtax on interest income</w:t>
      </w:r>
      <w:r w:rsidR="00827640">
        <w:t xml:space="preserve">) and the </w:t>
      </w:r>
      <w:r w:rsidR="000A7170">
        <w:t xml:space="preserve">favorable </w:t>
      </w:r>
      <w:r w:rsidR="00827640">
        <w:t xml:space="preserve">long-term capital gain tax rate is 23.8% (i.e., </w:t>
      </w:r>
      <w:r w:rsidR="00E86737">
        <w:t xml:space="preserve">the </w:t>
      </w:r>
      <w:r w:rsidR="00827640">
        <w:t xml:space="preserve">20% top </w:t>
      </w:r>
      <w:r w:rsidR="000A7170">
        <w:t>favorable</w:t>
      </w:r>
      <w:r w:rsidR="00827640">
        <w:t xml:space="preserve"> tax rate added together with the 3.8% </w:t>
      </w:r>
      <w:r w:rsidR="005E69CD">
        <w:t>M</w:t>
      </w:r>
      <w:r w:rsidR="00827640">
        <w:t>edicare surtax</w:t>
      </w:r>
      <w:r w:rsidR="00CD02AA">
        <w:t xml:space="preserve"> on long-term capital gain income</w:t>
      </w:r>
      <w:r w:rsidR="00827640">
        <w:t>).</w:t>
      </w:r>
      <w:r w:rsidR="00827640">
        <w:rPr>
          <w:rStyle w:val="EndnoteReference"/>
        </w:rPr>
        <w:endnoteReference w:id="20"/>
      </w:r>
      <w:r>
        <w:t xml:space="preserve"> </w:t>
      </w:r>
      <w:r w:rsidR="00827640">
        <w:t>Th</w:t>
      </w:r>
      <w:r w:rsidR="00D66086">
        <w:t xml:space="preserve">is </w:t>
      </w:r>
      <w:r w:rsidR="00827640">
        <w:t xml:space="preserve">break-even line </w:t>
      </w:r>
      <w:r w:rsidR="00D66086">
        <w:t>is solid</w:t>
      </w:r>
      <w:r w:rsidR="000170CE">
        <w:t>,</w:t>
      </w:r>
      <w:r w:rsidR="00D66086">
        <w:t xml:space="preserve"> and it </w:t>
      </w:r>
      <w:r w:rsidR="00827640">
        <w:t xml:space="preserve">is very similar to </w:t>
      </w:r>
      <w:r w:rsidR="00D66086">
        <w:t>the dashed line (i.e., t = 25% and g = 15%)</w:t>
      </w:r>
      <w:r w:rsidR="00827640">
        <w:t>.</w:t>
      </w:r>
      <w:r>
        <w:t xml:space="preserve"> </w:t>
      </w:r>
      <w:r w:rsidR="00827640">
        <w:t xml:space="preserve">In fact, </w:t>
      </w:r>
      <w:r w:rsidR="00210681">
        <w:t xml:space="preserve">the indifference points </w:t>
      </w:r>
      <w:r w:rsidR="00827640">
        <w:t>when R</w:t>
      </w:r>
      <w:r w:rsidR="00827640">
        <w:rPr>
          <w:vertAlign w:val="subscript"/>
        </w:rPr>
        <w:t>B</w:t>
      </w:r>
      <w:r w:rsidR="00827640">
        <w:t xml:space="preserve"> = </w:t>
      </w:r>
      <w:r w:rsidR="008015D4">
        <w:t>4</w:t>
      </w:r>
      <w:r w:rsidR="00827640">
        <w:t>.0%</w:t>
      </w:r>
      <w:r w:rsidR="00210681">
        <w:t xml:space="preserve"> are</w:t>
      </w:r>
      <w:r w:rsidR="00827640">
        <w:t xml:space="preserve"> R</w:t>
      </w:r>
      <w:r w:rsidR="00827640">
        <w:rPr>
          <w:vertAlign w:val="subscript"/>
        </w:rPr>
        <w:t>S</w:t>
      </w:r>
      <w:r w:rsidR="00827640">
        <w:t xml:space="preserve"> = </w:t>
      </w:r>
      <w:r w:rsidR="008015D4">
        <w:t>6</w:t>
      </w:r>
      <w:r w:rsidR="00827640">
        <w:t>.6</w:t>
      </w:r>
      <w:r w:rsidR="008015D4">
        <w:t>6</w:t>
      </w:r>
      <w:r w:rsidR="00827640">
        <w:t xml:space="preserve">% in </w:t>
      </w:r>
      <w:r w:rsidR="00D66086">
        <w:t xml:space="preserve">the solid line and </w:t>
      </w:r>
      <w:r w:rsidR="008015D4">
        <w:t>R</w:t>
      </w:r>
      <w:r w:rsidR="008015D4">
        <w:rPr>
          <w:vertAlign w:val="subscript"/>
        </w:rPr>
        <w:t>S</w:t>
      </w:r>
      <w:r w:rsidR="008015D4">
        <w:t xml:space="preserve"> = 6.56% in </w:t>
      </w:r>
      <w:r w:rsidR="00D66086">
        <w:t>the dashed line</w:t>
      </w:r>
      <w:r w:rsidR="00827640">
        <w:t>.</w:t>
      </w:r>
      <w:r w:rsidR="005E7A7E">
        <w:t xml:space="preserve"> </w:t>
      </w:r>
    </w:p>
    <w:p w:rsidR="00FC58D4" w:rsidRDefault="00655A3D" w:rsidP="00B52F5B">
      <w:pPr>
        <w:spacing w:line="480" w:lineRule="auto"/>
        <w:ind w:firstLine="720"/>
      </w:pPr>
      <w:r>
        <w:t>To summarize, the four break-even lines are similar</w:t>
      </w:r>
      <w:r w:rsidR="00E86737">
        <w:t>,</w:t>
      </w:r>
      <w:r>
        <w:t xml:space="preserve"> as </w:t>
      </w:r>
      <w:r w:rsidR="00D66086">
        <w:t xml:space="preserve">the combination of </w:t>
      </w:r>
      <w:r>
        <w:t>tax rates range</w:t>
      </w:r>
      <w:r w:rsidR="00E7794C">
        <w:t>s</w:t>
      </w:r>
      <w:r>
        <w:t xml:space="preserve"> from t = 25% and g = 15% up to the </w:t>
      </w:r>
      <w:r w:rsidR="000A7170">
        <w:t xml:space="preserve">highest </w:t>
      </w:r>
      <w:r>
        <w:t xml:space="preserve">possible tax rates of t = 43.4% and g = 23.8%. </w:t>
      </w:r>
      <w:r w:rsidR="00210681">
        <w:t>Assuming n = 20 years, a</w:t>
      </w:r>
      <w:r>
        <w:t xml:space="preserve">ll of the break-even lines are consistent with Stocks </w:t>
      </w:r>
      <w:proofErr w:type="gramStart"/>
      <w:r>
        <w:t>In</w:t>
      </w:r>
      <w:proofErr w:type="gramEnd"/>
      <w:r>
        <w:t xml:space="preserve"> – Bonds Out being the tax</w:t>
      </w:r>
      <w:r w:rsidR="00B61985">
        <w:t>-</w:t>
      </w:r>
      <w:r>
        <w:t xml:space="preserve">efficient </w:t>
      </w:r>
      <w:r w:rsidR="00B61985">
        <w:t>(i.e., wealth</w:t>
      </w:r>
      <w:r w:rsidR="00E7794C">
        <w:t>-</w:t>
      </w:r>
      <w:r w:rsidR="00B61985">
        <w:t xml:space="preserve">maximizing) </w:t>
      </w:r>
      <w:r>
        <w:t xml:space="preserve">asset location strategy </w:t>
      </w:r>
      <w:r w:rsidR="00B61985">
        <w:t>if R</w:t>
      </w:r>
      <w:r w:rsidR="00B61985">
        <w:rPr>
          <w:vertAlign w:val="subscript"/>
        </w:rPr>
        <w:t>S</w:t>
      </w:r>
      <w:r w:rsidR="00D66086">
        <w:t xml:space="preserve"> is </w:t>
      </w:r>
      <w:r w:rsidR="00B61985">
        <w:t>twice as large as R</w:t>
      </w:r>
      <w:r w:rsidR="00B61985">
        <w:rPr>
          <w:vertAlign w:val="subscript"/>
        </w:rPr>
        <w:t>B</w:t>
      </w:r>
      <w:r w:rsidR="00B61985">
        <w:t>, regardless of the level of R</w:t>
      </w:r>
      <w:r w:rsidR="00B61985">
        <w:rPr>
          <w:vertAlign w:val="subscript"/>
        </w:rPr>
        <w:t>B</w:t>
      </w:r>
      <w:r w:rsidR="00B61985">
        <w:t>.</w:t>
      </w:r>
    </w:p>
    <w:p w:rsidR="00B61985" w:rsidRDefault="00B61985" w:rsidP="0027184B">
      <w:pPr>
        <w:spacing w:line="480" w:lineRule="auto"/>
      </w:pPr>
    </w:p>
    <w:p w:rsidR="005E7A7E" w:rsidRDefault="005E7A7E" w:rsidP="0027184B">
      <w:pPr>
        <w:spacing w:line="480" w:lineRule="auto"/>
        <w:rPr>
          <w:b/>
        </w:rPr>
      </w:pPr>
      <w:r>
        <w:rPr>
          <w:b/>
        </w:rPr>
        <w:t>A Finer Breakdown of Taxable Bonds</w:t>
      </w:r>
    </w:p>
    <w:p w:rsidR="005E7A7E" w:rsidRDefault="005E7A7E" w:rsidP="0027184B">
      <w:pPr>
        <w:spacing w:line="480" w:lineRule="auto"/>
        <w:rPr>
          <w:b/>
        </w:rPr>
      </w:pPr>
    </w:p>
    <w:p w:rsidR="005E7A7E" w:rsidRPr="005D078F" w:rsidRDefault="00F36BD0" w:rsidP="00B52F5B">
      <w:pPr>
        <w:spacing w:line="480" w:lineRule="auto"/>
        <w:ind w:firstLine="720"/>
      </w:pPr>
      <w:r>
        <w:t xml:space="preserve">As mentioned earlier, </w:t>
      </w:r>
      <w:r w:rsidR="005E7A7E">
        <w:t>Ibbotson (</w:t>
      </w:r>
      <w:r w:rsidR="00BA6014">
        <w:t xml:space="preserve">Morningstar, </w:t>
      </w:r>
      <w:r w:rsidR="005E7A7E">
        <w:t xml:space="preserve">2015) lists the returns on large-cap stocks, long-term corporate bonds, </w:t>
      </w:r>
      <w:r>
        <w:t xml:space="preserve">and </w:t>
      </w:r>
      <w:r w:rsidR="005E7A7E">
        <w:t>long-term (federal) government bonds</w:t>
      </w:r>
      <w:r>
        <w:t xml:space="preserve">. In addition, it lists the returns on </w:t>
      </w:r>
      <w:r w:rsidR="005E7A7E">
        <w:t xml:space="preserve">intermediate-term (federal) government bonds and federal government Treasury </w:t>
      </w:r>
      <w:r w:rsidR="00001110">
        <w:t>b</w:t>
      </w:r>
      <w:r w:rsidR="005E7A7E">
        <w:t>ill</w:t>
      </w:r>
      <w:r w:rsidR="00B61985">
        <w:t>s</w:t>
      </w:r>
      <w:r w:rsidR="005E7A7E">
        <w:t xml:space="preserve">. </w:t>
      </w:r>
      <w:r w:rsidR="005E7A7E">
        <w:lastRenderedPageBreak/>
        <w:t xml:space="preserve">The 2015 </w:t>
      </w:r>
      <w:r w:rsidR="005E7A7E" w:rsidRPr="002E725E">
        <w:rPr>
          <w:i/>
        </w:rPr>
        <w:t>Yearbook</w:t>
      </w:r>
      <w:r w:rsidR="005E7A7E">
        <w:t xml:space="preserve"> shows that for the period January 1, 1926 through December 31, 2014</w:t>
      </w:r>
      <w:r w:rsidR="00E7794C">
        <w:t>,</w:t>
      </w:r>
      <w:r w:rsidR="005E7A7E">
        <w:t xml:space="preserve"> the geometric mean</w:t>
      </w:r>
      <w:r w:rsidR="00E7794C">
        <w:t>s</w:t>
      </w:r>
      <w:r w:rsidR="005E7A7E">
        <w:t xml:space="preserve"> of the annualized returns were 10.1%, 6.1%, 5.7%, 5.3%, and 3.5%, respectively. </w:t>
      </w:r>
      <w:r w:rsidR="00B61985">
        <w:t>Reviewing the four break-even lines</w:t>
      </w:r>
      <w:r w:rsidR="00D66086">
        <w:t xml:space="preserve"> in Figure </w:t>
      </w:r>
      <w:r w:rsidR="00105352">
        <w:t>2</w:t>
      </w:r>
      <w:r w:rsidR="00B61985">
        <w:t>, i</w:t>
      </w:r>
      <w:r w:rsidR="005E7A7E">
        <w:t xml:space="preserve">f these historical averages </w:t>
      </w:r>
      <w:r w:rsidR="005112D1">
        <w:t xml:space="preserve">still </w:t>
      </w:r>
      <w:r w:rsidR="005E7A7E">
        <w:t>appl</w:t>
      </w:r>
      <w:r w:rsidR="00B61985">
        <w:t>ied</w:t>
      </w:r>
      <w:r w:rsidR="005112D1">
        <w:t xml:space="preserve"> </w:t>
      </w:r>
      <w:r w:rsidR="00D66086">
        <w:t>currently</w:t>
      </w:r>
      <w:r w:rsidR="00E7794C">
        <w:t>,</w:t>
      </w:r>
      <w:r w:rsidR="00D66086">
        <w:t xml:space="preserve"> </w:t>
      </w:r>
      <w:r w:rsidR="005E7A7E">
        <w:t xml:space="preserve">the asset location of stocks versus long-term corporate bonds </w:t>
      </w:r>
      <w:r w:rsidR="00D66086">
        <w:t xml:space="preserve">would </w:t>
      </w:r>
      <w:r w:rsidR="005E7A7E">
        <w:t>result in little difference to after-tax wealth</w:t>
      </w:r>
      <w:r w:rsidR="00D66086">
        <w:t>, given current income tax rate combinations</w:t>
      </w:r>
      <w:r w:rsidR="005E7A7E">
        <w:t>. In contrast, federal government long-term and intermediate</w:t>
      </w:r>
      <w:r>
        <w:t>-term</w:t>
      </w:r>
      <w:r w:rsidR="005E7A7E">
        <w:t xml:space="preserve"> bonds outside retirement accounts and stocks inside retirement accounts would result in slightly higher after-tax wealth </w:t>
      </w:r>
      <w:r w:rsidR="005D078F">
        <w:t>(</w:t>
      </w:r>
      <w:r>
        <w:t xml:space="preserve">i.e., </w:t>
      </w:r>
      <w:r w:rsidR="005D078F">
        <w:t>R</w:t>
      </w:r>
      <w:r w:rsidR="005D078F">
        <w:rPr>
          <w:vertAlign w:val="subscript"/>
        </w:rPr>
        <w:t>S</w:t>
      </w:r>
      <w:r w:rsidR="005D078F">
        <w:t xml:space="preserve"> </w:t>
      </w:r>
      <w:r>
        <w:t>=</w:t>
      </w:r>
      <w:r w:rsidR="005D078F">
        <w:t xml:space="preserve"> 10.1% and R</w:t>
      </w:r>
      <w:r w:rsidR="005D078F">
        <w:rPr>
          <w:vertAlign w:val="subscript"/>
        </w:rPr>
        <w:t>B</w:t>
      </w:r>
      <w:r w:rsidR="005D078F">
        <w:t xml:space="preserve"> </w:t>
      </w:r>
      <w:r>
        <w:t>=</w:t>
      </w:r>
      <w:r w:rsidR="005D078F">
        <w:t xml:space="preserve"> either 5.7% or 5.3%), compared </w:t>
      </w:r>
      <w:r w:rsidR="0054053D">
        <w:t xml:space="preserve">with </w:t>
      </w:r>
      <w:r w:rsidR="005D078F">
        <w:t>the opposite locations, since these combinations of R</w:t>
      </w:r>
      <w:r w:rsidR="005D078F">
        <w:rPr>
          <w:vertAlign w:val="subscript"/>
        </w:rPr>
        <w:t>S</w:t>
      </w:r>
      <w:r w:rsidR="005D078F">
        <w:t xml:space="preserve"> and R</w:t>
      </w:r>
      <w:r w:rsidR="005D078F">
        <w:rPr>
          <w:vertAlign w:val="subscript"/>
        </w:rPr>
        <w:t>B</w:t>
      </w:r>
      <w:r w:rsidR="005D078F">
        <w:t xml:space="preserve"> lie </w:t>
      </w:r>
      <w:r w:rsidR="00D66086">
        <w:t>slightly to the northwest</w:t>
      </w:r>
      <w:r w:rsidR="005D078F">
        <w:t xml:space="preserve"> of the </w:t>
      </w:r>
      <w:r w:rsidR="00D66086">
        <w:t xml:space="preserve">four </w:t>
      </w:r>
      <w:r w:rsidR="005D078F">
        <w:t>break-even line</w:t>
      </w:r>
      <w:r w:rsidR="00D66086">
        <w:t>s</w:t>
      </w:r>
      <w:r w:rsidR="005D078F">
        <w:t xml:space="preserve"> in Figure</w:t>
      </w:r>
      <w:r w:rsidR="00D66086">
        <w:t xml:space="preserve"> </w:t>
      </w:r>
      <w:r w:rsidR="00105352">
        <w:t>2</w:t>
      </w:r>
      <w:r w:rsidR="005D078F">
        <w:t xml:space="preserve">. Finally, holding </w:t>
      </w:r>
      <w:r w:rsidR="00E7794C">
        <w:t xml:space="preserve">Treasury </w:t>
      </w:r>
      <w:r w:rsidR="00001110">
        <w:t>b</w:t>
      </w:r>
      <w:r w:rsidR="00E7794C">
        <w:t>ills</w:t>
      </w:r>
      <w:r w:rsidR="005D078F">
        <w:t xml:space="preserve"> outside retirement accounts and stocks inside retirement accounts is wealth maximizing since R</w:t>
      </w:r>
      <w:r w:rsidR="005D078F">
        <w:rPr>
          <w:vertAlign w:val="subscript"/>
        </w:rPr>
        <w:t>S</w:t>
      </w:r>
      <w:r w:rsidR="005D078F">
        <w:t xml:space="preserve"> of 10.1% and R</w:t>
      </w:r>
      <w:r w:rsidR="005D078F">
        <w:rPr>
          <w:vertAlign w:val="subscript"/>
        </w:rPr>
        <w:t>B</w:t>
      </w:r>
      <w:r w:rsidR="005D078F">
        <w:t xml:space="preserve"> of 3.5% lies far </w:t>
      </w:r>
      <w:r w:rsidR="002202B9">
        <w:t xml:space="preserve">northwest </w:t>
      </w:r>
      <w:r w:rsidR="005D078F">
        <w:t>of the break-even line</w:t>
      </w:r>
      <w:r w:rsidR="002202B9">
        <w:t>s</w:t>
      </w:r>
      <w:r w:rsidR="005D078F">
        <w:t xml:space="preserve"> in Figure</w:t>
      </w:r>
      <w:r w:rsidR="002202B9">
        <w:t xml:space="preserve"> </w:t>
      </w:r>
      <w:r w:rsidR="00105352">
        <w:t>2</w:t>
      </w:r>
      <w:r w:rsidR="005D078F">
        <w:t xml:space="preserve">. One takeaway for financial professionals is that at a minimum, breaking out taxable bonds between those with potentially higher and lower yields should be done and the latter category should be placed outside retirement accounts while stocks are placed inside retirement accounts for clients who </w:t>
      </w:r>
      <w:r w:rsidR="006C41A1">
        <w:t>invest more in a year than is allowed into all of such client</w:t>
      </w:r>
      <w:r w:rsidR="00B47825">
        <w:t>s</w:t>
      </w:r>
      <w:r w:rsidR="006C41A1">
        <w:t>’ retirement accounts.</w:t>
      </w:r>
    </w:p>
    <w:p w:rsidR="00FC58D4" w:rsidRDefault="00FC58D4" w:rsidP="0027184B">
      <w:pPr>
        <w:spacing w:line="480" w:lineRule="auto"/>
      </w:pPr>
    </w:p>
    <w:p w:rsidR="00EA1D80" w:rsidRDefault="006C41A1" w:rsidP="0027184B">
      <w:pPr>
        <w:spacing w:line="480" w:lineRule="auto"/>
        <w:rPr>
          <w:b/>
        </w:rPr>
      </w:pPr>
      <w:r>
        <w:rPr>
          <w:b/>
        </w:rPr>
        <w:t xml:space="preserve">Current Investing Environment and </w:t>
      </w:r>
      <w:r w:rsidR="00BA69E4">
        <w:rPr>
          <w:b/>
        </w:rPr>
        <w:t>Implications for Asset Location</w:t>
      </w:r>
    </w:p>
    <w:p w:rsidR="00EA1D80" w:rsidRPr="00951A49" w:rsidRDefault="00EA1D80" w:rsidP="0027184B">
      <w:pPr>
        <w:spacing w:line="480" w:lineRule="auto"/>
      </w:pPr>
    </w:p>
    <w:p w:rsidR="00EA1D80" w:rsidRDefault="00EA1D80" w:rsidP="00416FC1">
      <w:pPr>
        <w:spacing w:line="480" w:lineRule="auto"/>
        <w:ind w:firstLine="720"/>
      </w:pPr>
      <w:r>
        <w:t>Appropriate asset location is important for maximizing after-tax wealth.</w:t>
      </w:r>
      <w:r w:rsidR="00674650">
        <w:t xml:space="preserve"> For an individual who invests both inside and outside retirement accounts, his or her financial planner can provide assistance about appropriate asset location. This article shows that </w:t>
      </w:r>
      <w:r w:rsidR="00C90D86">
        <w:t>appropriate</w:t>
      </w:r>
      <w:r w:rsidR="00674650">
        <w:t xml:space="preserve"> advice is not as simple as “</w:t>
      </w:r>
      <w:r w:rsidR="00CB4E14">
        <w:t>P</w:t>
      </w:r>
      <w:r w:rsidR="00674650">
        <w:t>ut ordinary income</w:t>
      </w:r>
      <w:r w:rsidR="007438FF">
        <w:t>-</w:t>
      </w:r>
      <w:r w:rsidR="00674650">
        <w:t xml:space="preserve">producing investments (i.e., </w:t>
      </w:r>
      <w:r w:rsidR="00C90D86">
        <w:t xml:space="preserve">taxable </w:t>
      </w:r>
      <w:r w:rsidR="00674650">
        <w:t xml:space="preserve">bonds) inside retirement </w:t>
      </w:r>
      <w:r w:rsidR="00674650">
        <w:lastRenderedPageBreak/>
        <w:t>accounts and hold tax-</w:t>
      </w:r>
      <w:r w:rsidR="00566E45">
        <w:t>favored</w:t>
      </w:r>
      <w:r w:rsidR="00674650">
        <w:t xml:space="preserve"> investments (i.e., stocks) outside of retirement accounts.” Instead, the scenarios in this article are broadly consistent with putting stocks inside retirement accounts if the stocks’ expected return is </w:t>
      </w:r>
      <w:r w:rsidR="002A2CEA">
        <w:t xml:space="preserve">close to </w:t>
      </w:r>
      <w:r w:rsidR="00674650">
        <w:t xml:space="preserve">double </w:t>
      </w:r>
      <w:r w:rsidR="002A2CEA">
        <w:t xml:space="preserve">or more of </w:t>
      </w:r>
      <w:r w:rsidR="00674650">
        <w:t xml:space="preserve">the expected return on bonds. </w:t>
      </w:r>
      <w:r w:rsidR="00B61985">
        <w:t xml:space="preserve">There is one </w:t>
      </w:r>
      <w:r w:rsidR="000C2054">
        <w:t xml:space="preserve">additional </w:t>
      </w:r>
      <w:r w:rsidR="002E725E">
        <w:t xml:space="preserve">consideration regarding </w:t>
      </w:r>
      <w:r w:rsidR="00674650">
        <w:t>this rule of thumb</w:t>
      </w:r>
      <w:r w:rsidR="00B61985">
        <w:t>. I</w:t>
      </w:r>
      <w:r w:rsidR="00674650">
        <w:t>f stocks have a significant component of their expected return taxed annually (e.g., actively managed mutual funds</w:t>
      </w:r>
      <w:r w:rsidR="000C2054">
        <w:t xml:space="preserve"> making capital gain distributions</w:t>
      </w:r>
      <w:r w:rsidR="00C90D86">
        <w:t>;</w:t>
      </w:r>
      <w:r w:rsidR="00674650">
        <w:t xml:space="preserve"> stocks that are not held for </w:t>
      </w:r>
      <w:r w:rsidR="003D2C80">
        <w:t xml:space="preserve">the </w:t>
      </w:r>
      <w:r w:rsidR="00674650">
        <w:t>long</w:t>
      </w:r>
      <w:r w:rsidR="003D2C80">
        <w:t xml:space="preserve"> </w:t>
      </w:r>
      <w:r w:rsidR="00674650">
        <w:t>term</w:t>
      </w:r>
      <w:r w:rsidR="008056E3">
        <w:t>,</w:t>
      </w:r>
      <w:r w:rsidR="00B61985">
        <w:t xml:space="preserve"> </w:t>
      </w:r>
      <w:r w:rsidR="002E725E">
        <w:t>[</w:t>
      </w:r>
      <w:r w:rsidR="00B61985">
        <w:t xml:space="preserve">i.e., not held greater than </w:t>
      </w:r>
      <w:r w:rsidR="003D2C80">
        <w:t xml:space="preserve">one </w:t>
      </w:r>
      <w:r w:rsidR="00B61985">
        <w:t>year</w:t>
      </w:r>
      <w:r w:rsidR="002E725E">
        <w:t>]</w:t>
      </w:r>
      <w:r w:rsidR="00C90D86">
        <w:t>;</w:t>
      </w:r>
      <w:r w:rsidR="00674650">
        <w:t xml:space="preserve"> </w:t>
      </w:r>
      <w:r w:rsidR="00C90D86">
        <w:t xml:space="preserve">or </w:t>
      </w:r>
      <w:r w:rsidR="00674650">
        <w:t>high-dividend yield stocks)</w:t>
      </w:r>
      <w:r w:rsidR="003D2C80">
        <w:t>,</w:t>
      </w:r>
      <w:r w:rsidR="00674650">
        <w:t xml:space="preserve"> then it would be </w:t>
      </w:r>
      <w:r w:rsidR="000A7170">
        <w:t xml:space="preserve">even </w:t>
      </w:r>
      <w:r w:rsidR="00674650">
        <w:t>more tax</w:t>
      </w:r>
      <w:r w:rsidR="00243946">
        <w:t xml:space="preserve"> </w:t>
      </w:r>
      <w:r w:rsidR="00674650">
        <w:t xml:space="preserve">efficient to hold </w:t>
      </w:r>
      <w:r w:rsidR="00E63B30">
        <w:t xml:space="preserve">such </w:t>
      </w:r>
      <w:r w:rsidR="00674650">
        <w:t>stocks inside retirement accounts and bonds outside</w:t>
      </w:r>
      <w:r w:rsidR="00B61985">
        <w:t xml:space="preserve"> (i.e., bonds in taxable accounts)</w:t>
      </w:r>
      <w:r w:rsidR="00674650">
        <w:t>.</w:t>
      </w:r>
    </w:p>
    <w:p w:rsidR="00C70A09" w:rsidRDefault="00674650" w:rsidP="00416FC1">
      <w:pPr>
        <w:spacing w:line="480" w:lineRule="auto"/>
        <w:ind w:firstLine="720"/>
      </w:pPr>
      <w:r>
        <w:t xml:space="preserve">That aside, is it reasonable in the current economic environment to assume </w:t>
      </w:r>
      <w:r w:rsidR="00C70A09">
        <w:t>an expected return on non-dividend</w:t>
      </w:r>
      <w:r w:rsidR="003D2C80">
        <w:t>-</w:t>
      </w:r>
      <w:r w:rsidR="00C70A09">
        <w:t xml:space="preserve">paying stocks </w:t>
      </w:r>
      <w:r w:rsidR="00E63B30">
        <w:t xml:space="preserve">that is </w:t>
      </w:r>
      <w:r w:rsidR="00C70A09">
        <w:t xml:space="preserve">double </w:t>
      </w:r>
      <w:r w:rsidR="00E63B30">
        <w:t>or more than that of investment</w:t>
      </w:r>
      <w:r w:rsidR="003D2C80">
        <w:t>-</w:t>
      </w:r>
      <w:r w:rsidR="00E63B30">
        <w:t xml:space="preserve">grade </w:t>
      </w:r>
      <w:r w:rsidR="00C70A09">
        <w:t xml:space="preserve">bonds? It might be. </w:t>
      </w:r>
      <w:r w:rsidR="00EA1D80">
        <w:t>Support for the U.S. economy being in a “low return on bonds” environment includes the daily interest yield on 10</w:t>
      </w:r>
      <w:r w:rsidR="003D2C80">
        <w:t>-</w:t>
      </w:r>
      <w:r w:rsidR="00EA1D80">
        <w:t xml:space="preserve">year U.S. </w:t>
      </w:r>
      <w:r w:rsidR="003D2C80">
        <w:t>T</w:t>
      </w:r>
      <w:r w:rsidR="00EA1D80">
        <w:t xml:space="preserve">reasury notes </w:t>
      </w:r>
      <w:r w:rsidR="00C70A09">
        <w:t xml:space="preserve">having </w:t>
      </w:r>
      <w:r w:rsidR="00EA1D80">
        <w:t xml:space="preserve">rarely been above 3.0% in the last </w:t>
      </w:r>
      <w:r w:rsidR="005670EC">
        <w:t>f</w:t>
      </w:r>
      <w:r w:rsidR="000C2054">
        <w:t>ew</w:t>
      </w:r>
      <w:r w:rsidR="00564FFC">
        <w:t xml:space="preserve"> </w:t>
      </w:r>
      <w:r w:rsidR="00EA1D80">
        <w:t>years (</w:t>
      </w:r>
      <w:r w:rsidR="006C41A1">
        <w:t xml:space="preserve">i.e., from </w:t>
      </w:r>
      <w:r w:rsidR="00EA1D80">
        <w:t xml:space="preserve">the beginning of 2012 through </w:t>
      </w:r>
      <w:r w:rsidR="00564FFC">
        <w:t xml:space="preserve">the </w:t>
      </w:r>
      <w:r w:rsidR="00C230C5">
        <w:t xml:space="preserve">end of </w:t>
      </w:r>
      <w:r w:rsidR="00032AD1">
        <w:t>2016</w:t>
      </w:r>
      <w:r w:rsidR="00EA1D80">
        <w:t>)</w:t>
      </w:r>
      <w:r w:rsidR="00C70A09">
        <w:t>,</w:t>
      </w:r>
      <w:r w:rsidR="00EA1D80">
        <w:t xml:space="preserve"> and ha</w:t>
      </w:r>
      <w:r w:rsidR="00C70A09">
        <w:t>ving</w:t>
      </w:r>
      <w:r w:rsidR="00EA1D80">
        <w:t xml:space="preserve"> not been above 4.0% on 30</w:t>
      </w:r>
      <w:r w:rsidR="00AE69EE">
        <w:t>-</w:t>
      </w:r>
      <w:r w:rsidR="00EA1D80">
        <w:t xml:space="preserve">year U.S. </w:t>
      </w:r>
      <w:r w:rsidR="00001110">
        <w:t>T</w:t>
      </w:r>
      <w:r w:rsidR="00EA1D80">
        <w:t>reasury bonds during the same time</w:t>
      </w:r>
      <w:r w:rsidR="00C90D86">
        <w:t xml:space="preserve"> period</w:t>
      </w:r>
      <w:r w:rsidR="00C70A09">
        <w:t xml:space="preserve">. Additionally, </w:t>
      </w:r>
      <w:r w:rsidR="00EA1D80">
        <w:t>the annual return on 10</w:t>
      </w:r>
      <w:r w:rsidR="00AE69EE">
        <w:t>-</w:t>
      </w:r>
      <w:r w:rsidR="00EA1D80">
        <w:t xml:space="preserve">year U.S. </w:t>
      </w:r>
      <w:r w:rsidR="00001110">
        <w:t>T</w:t>
      </w:r>
      <w:r w:rsidR="00EA1D80">
        <w:t>reasury notes has averaged less than 2% in the same time</w:t>
      </w:r>
      <w:r w:rsidR="00C90D86">
        <w:t xml:space="preserve"> period</w:t>
      </w:r>
      <w:r w:rsidR="00EA1D80">
        <w:t>.</w:t>
      </w:r>
    </w:p>
    <w:p w:rsidR="006C41A1" w:rsidRDefault="006C41A1" w:rsidP="00416FC1">
      <w:pPr>
        <w:spacing w:line="480" w:lineRule="auto"/>
        <w:ind w:firstLine="720"/>
      </w:pPr>
      <w:r>
        <w:t xml:space="preserve">Arguably, </w:t>
      </w:r>
      <w:r w:rsidR="00C22071">
        <w:t>a 30</w:t>
      </w:r>
      <w:r w:rsidR="00AE69EE">
        <w:t>-</w:t>
      </w:r>
      <w:r w:rsidR="00C22071">
        <w:t xml:space="preserve">year </w:t>
      </w:r>
      <w:r>
        <w:t xml:space="preserve">“bull market for bonds” ended around </w:t>
      </w:r>
      <w:r w:rsidR="00C22071">
        <w:t xml:space="preserve">the beginning of this decade. During that time, the year-end yield on long-term government bonds went from 13.34% at the end of 1981 to 2.48% at the end of 2011. During these 30 years, for the one-year periods </w:t>
      </w:r>
      <w:r w:rsidR="00E251AE">
        <w:t xml:space="preserve">in which </w:t>
      </w:r>
      <w:r w:rsidR="00C22071">
        <w:t xml:space="preserve">yields went down significantly, the return on bonds was very good. </w:t>
      </w:r>
      <w:r w:rsidR="000A7170">
        <w:t>Today t</w:t>
      </w:r>
      <w:r w:rsidR="00C22071">
        <w:t xml:space="preserve">here is little, if any, such upside potential remaining in taxable bonds. </w:t>
      </w:r>
    </w:p>
    <w:p w:rsidR="005E69CD" w:rsidRDefault="005E69CD" w:rsidP="00416FC1">
      <w:pPr>
        <w:spacing w:line="480" w:lineRule="auto"/>
        <w:ind w:firstLine="720"/>
      </w:pPr>
      <w:r>
        <w:t>Granted, future returns on stocks and bonds are unknown</w:t>
      </w:r>
      <w:r w:rsidR="006F5C5C">
        <w:t>,</w:t>
      </w:r>
      <w:r>
        <w:t xml:space="preserve"> but macroeconomists often predict them</w:t>
      </w:r>
      <w:r w:rsidR="006F5C5C">
        <w:t>,</w:t>
      </w:r>
      <w:r>
        <w:t xml:space="preserve"> so it is reasonable that a financial adviser can have an appropriate basis for making </w:t>
      </w:r>
      <w:r w:rsidR="000C2054">
        <w:t>a</w:t>
      </w:r>
      <w:r>
        <w:t xml:space="preserve"> </w:t>
      </w:r>
      <w:r w:rsidR="000C2054">
        <w:t>“</w:t>
      </w:r>
      <w:r>
        <w:t>stocks versus bonds asset location</w:t>
      </w:r>
      <w:r w:rsidR="000C2054">
        <w:t>”</w:t>
      </w:r>
      <w:r>
        <w:t xml:space="preserve"> </w:t>
      </w:r>
      <w:r w:rsidR="00880AA1">
        <w:t>recommendation</w:t>
      </w:r>
      <w:r>
        <w:t xml:space="preserve">. The only other piece of information a </w:t>
      </w:r>
      <w:r>
        <w:lastRenderedPageBreak/>
        <w:t>financial adviser needs to make a proper asset location recommendation is the client’s ex</w:t>
      </w:r>
      <w:r w:rsidR="00951A49">
        <w:t>pected tax rates in the future.</w:t>
      </w:r>
    </w:p>
    <w:p w:rsidR="00951A49" w:rsidRDefault="00951A49" w:rsidP="00951A49">
      <w:pPr>
        <w:spacing w:line="480" w:lineRule="auto"/>
      </w:pPr>
    </w:p>
    <w:p w:rsidR="006C41A1" w:rsidRPr="00F31D99" w:rsidRDefault="00F31D99" w:rsidP="00951A49">
      <w:pPr>
        <w:spacing w:line="480" w:lineRule="auto"/>
        <w:rPr>
          <w:b/>
        </w:rPr>
      </w:pPr>
      <w:r>
        <w:rPr>
          <w:b/>
        </w:rPr>
        <w:t xml:space="preserve">Reversibility of Stocks </w:t>
      </w:r>
      <w:proofErr w:type="gramStart"/>
      <w:r>
        <w:rPr>
          <w:b/>
        </w:rPr>
        <w:t>In</w:t>
      </w:r>
      <w:proofErr w:type="gramEnd"/>
      <w:r w:rsidR="00771630">
        <w:rPr>
          <w:b/>
        </w:rPr>
        <w:t xml:space="preserve"> – </w:t>
      </w:r>
      <w:r>
        <w:rPr>
          <w:b/>
        </w:rPr>
        <w:t>Bonds Out Asset Location</w:t>
      </w:r>
    </w:p>
    <w:p w:rsidR="00951A49" w:rsidRDefault="00951A49" w:rsidP="00951A49">
      <w:pPr>
        <w:spacing w:line="480" w:lineRule="auto"/>
      </w:pPr>
    </w:p>
    <w:p w:rsidR="003A467C" w:rsidRDefault="005A4AA1" w:rsidP="00B52F5B">
      <w:pPr>
        <w:spacing w:after="200" w:line="480" w:lineRule="auto"/>
        <w:ind w:firstLine="720"/>
      </w:pPr>
      <w:r>
        <w:t xml:space="preserve">Since Donald Trump was elected </w:t>
      </w:r>
      <w:r w:rsidR="00BA6EAA">
        <w:t>p</w:t>
      </w:r>
      <w:r>
        <w:t>resident, the interest yield on 10</w:t>
      </w:r>
      <w:r w:rsidR="00001110">
        <w:t>-</w:t>
      </w:r>
      <w:r>
        <w:t xml:space="preserve">year U.S. </w:t>
      </w:r>
      <w:r w:rsidR="00001110">
        <w:t>T</w:t>
      </w:r>
      <w:r>
        <w:t>reasury notes has risen from below 2.0% to a</w:t>
      </w:r>
      <w:r w:rsidR="00BE3346">
        <w:t xml:space="preserve">pproximately </w:t>
      </w:r>
      <w:r>
        <w:t>2.5%</w:t>
      </w:r>
      <w:r w:rsidR="00BE3346">
        <w:t xml:space="preserve"> (as of January 30, 2017)</w:t>
      </w:r>
      <w:r>
        <w:t xml:space="preserve">. If the interest yield continues to rise to a much higher level, it raises the issue of needing to reverse the Stocks In – Bonds Out asset location strategy. In other words, </w:t>
      </w:r>
      <w:r w:rsidR="00C70A09">
        <w:t xml:space="preserve">if in the future a financial adviser believes that the expected return on </w:t>
      </w:r>
      <w:r>
        <w:t>bonds</w:t>
      </w:r>
      <w:r w:rsidR="00C70A09">
        <w:t xml:space="preserve"> </w:t>
      </w:r>
      <w:r w:rsidR="00880AA1">
        <w:t xml:space="preserve">has become </w:t>
      </w:r>
      <w:r w:rsidR="00C230C5">
        <w:t xml:space="preserve">significantly </w:t>
      </w:r>
      <w:r w:rsidR="005521B9">
        <w:t xml:space="preserve">closer to </w:t>
      </w:r>
      <w:r w:rsidR="00C70A09">
        <w:t xml:space="preserve">the expected return on </w:t>
      </w:r>
      <w:r>
        <w:t>stocks</w:t>
      </w:r>
      <w:r w:rsidR="00C70A09">
        <w:t xml:space="preserve">, </w:t>
      </w:r>
      <w:r>
        <w:t xml:space="preserve">what is </w:t>
      </w:r>
      <w:r w:rsidR="00C70A09">
        <w:t>the cost to undo th</w:t>
      </w:r>
      <w:r w:rsidR="000C2054">
        <w:t>e</w:t>
      </w:r>
      <w:r w:rsidR="00C70A09">
        <w:t xml:space="preserve"> </w:t>
      </w:r>
      <w:r w:rsidR="000C2054">
        <w:t xml:space="preserve">recommended </w:t>
      </w:r>
      <w:r w:rsidR="00C70A09">
        <w:t xml:space="preserve">strategy </w:t>
      </w:r>
      <w:r w:rsidR="000C2054">
        <w:t>of Stocks In – Bonds Out</w:t>
      </w:r>
      <w:r>
        <w:t>? The answer is that the tax cost</w:t>
      </w:r>
      <w:r w:rsidR="000C2054">
        <w:t xml:space="preserve"> </w:t>
      </w:r>
      <w:r w:rsidR="00C70A09">
        <w:t xml:space="preserve">is minimal. Selling any stocks or stock-holding funds </w:t>
      </w:r>
      <w:r w:rsidR="00C90D86">
        <w:t xml:space="preserve">held </w:t>
      </w:r>
      <w:r w:rsidR="00C70A09">
        <w:t xml:space="preserve">inside a </w:t>
      </w:r>
      <w:r w:rsidR="00880AA1">
        <w:t>TDA or TEA</w:t>
      </w:r>
      <w:r w:rsidR="00C70A09">
        <w:t xml:space="preserve"> and buying bond funds </w:t>
      </w:r>
      <w:r w:rsidR="00566E45">
        <w:t xml:space="preserve">inside the retirement account </w:t>
      </w:r>
      <w:r w:rsidR="00C70A09">
        <w:t xml:space="preserve">with the proceeds triggers no tax. Further, selling bonds </w:t>
      </w:r>
      <w:r w:rsidR="00C90D86">
        <w:t xml:space="preserve">held </w:t>
      </w:r>
      <w:r w:rsidR="00C70A09">
        <w:t xml:space="preserve">outside the retirement account </w:t>
      </w:r>
      <w:r w:rsidR="000C2054">
        <w:t xml:space="preserve">typically </w:t>
      </w:r>
      <w:r w:rsidR="00C70A09">
        <w:t>triggers little gain because the basis is close to the selling price</w:t>
      </w:r>
      <w:r>
        <w:t>.</w:t>
      </w:r>
      <w:r w:rsidR="00C70A09">
        <w:t xml:space="preserve"> </w:t>
      </w:r>
      <w:r>
        <w:t>S</w:t>
      </w:r>
      <w:r w:rsidR="00C70A09">
        <w:t xml:space="preserve">o using such proceeds to buy stocks or stock-holding funds is not hampered by the </w:t>
      </w:r>
      <w:r w:rsidR="00C90D86">
        <w:t>“</w:t>
      </w:r>
      <w:r w:rsidR="00C70A09">
        <w:t>lock-in effect</w:t>
      </w:r>
      <w:r w:rsidR="00C90D86">
        <w:t>”</w:t>
      </w:r>
      <w:r w:rsidR="00C70A09">
        <w:t xml:space="preserve"> that impacts </w:t>
      </w:r>
      <w:r w:rsidR="00880AA1">
        <w:t xml:space="preserve">the decision to </w:t>
      </w:r>
      <w:r w:rsidR="00C90D86">
        <w:t>s</w:t>
      </w:r>
      <w:r w:rsidR="00880AA1">
        <w:t>ell</w:t>
      </w:r>
      <w:r w:rsidR="00C90D86">
        <w:t xml:space="preserve"> </w:t>
      </w:r>
      <w:r w:rsidR="00EB0080">
        <w:t xml:space="preserve">highly </w:t>
      </w:r>
      <w:r w:rsidR="00C70A09">
        <w:t xml:space="preserve">appreciated stocks held outside retirement accounts. </w:t>
      </w:r>
    </w:p>
    <w:p w:rsidR="00BA69E4" w:rsidRDefault="00BA69E4" w:rsidP="00951A49">
      <w:pPr>
        <w:spacing w:line="480" w:lineRule="auto"/>
      </w:pPr>
    </w:p>
    <w:p w:rsidR="00F31D99" w:rsidRPr="00951A49" w:rsidRDefault="00F31D99" w:rsidP="00951A49">
      <w:pPr>
        <w:spacing w:line="480" w:lineRule="auto"/>
        <w:rPr>
          <w:b/>
        </w:rPr>
      </w:pPr>
      <w:r>
        <w:rPr>
          <w:b/>
        </w:rPr>
        <w:t>Conclusion</w:t>
      </w:r>
    </w:p>
    <w:p w:rsidR="00951A49" w:rsidRDefault="00951A49" w:rsidP="00951A49">
      <w:pPr>
        <w:spacing w:line="480" w:lineRule="auto"/>
      </w:pPr>
    </w:p>
    <w:p w:rsidR="000C2054" w:rsidRDefault="00F31D99" w:rsidP="00416FC1">
      <w:pPr>
        <w:spacing w:line="480" w:lineRule="auto"/>
        <w:ind w:firstLine="720"/>
      </w:pPr>
      <w:r>
        <w:t xml:space="preserve">If a financial professional believes that in </w:t>
      </w:r>
      <w:r w:rsidR="000C2054">
        <w:t xml:space="preserve">the current </w:t>
      </w:r>
      <w:r>
        <w:t>low</w:t>
      </w:r>
      <w:r w:rsidR="001B6682">
        <w:t>-</w:t>
      </w:r>
      <w:r>
        <w:t xml:space="preserve">inflation environment the expected return on stocks is about double </w:t>
      </w:r>
      <w:r w:rsidR="002202B9">
        <w:t xml:space="preserve">(or more than double) </w:t>
      </w:r>
      <w:r>
        <w:t xml:space="preserve">that of bonds, </w:t>
      </w:r>
      <w:r w:rsidR="001B6682">
        <w:t xml:space="preserve">then </w:t>
      </w:r>
      <w:r>
        <w:t xml:space="preserve">the tax-efficient location is, in opposition to the traditional view, to place stocks in retirement accounts </w:t>
      </w:r>
      <w:r>
        <w:lastRenderedPageBreak/>
        <w:t>and bonds in taxable accounts</w:t>
      </w:r>
      <w:r w:rsidR="000C2054">
        <w:t xml:space="preserve"> (i.e., Stocks In – Bonds Out)</w:t>
      </w:r>
      <w:r>
        <w:t xml:space="preserve">. It is true that the interest on the bonds will trigger tax at the ordinary rate each year. This is more than offset by the present value of the tax savings on the sale of the much higher return stocks </w:t>
      </w:r>
      <w:r w:rsidR="00880AA1">
        <w:t xml:space="preserve">held inside a </w:t>
      </w:r>
      <w:r>
        <w:t xml:space="preserve">retirement account. As Anderson and Murphy (2014) point out, it is not just tax rates but also </w:t>
      </w:r>
      <w:r w:rsidRPr="00F31D99">
        <w:t>rate of return</w:t>
      </w:r>
      <w:r>
        <w:t xml:space="preserve"> on the investments </w:t>
      </w:r>
      <w:r w:rsidRPr="00F31D99">
        <w:t>and the investment horizon</w:t>
      </w:r>
      <w:r>
        <w:t xml:space="preserve"> that determine proper asset location. </w:t>
      </w:r>
    </w:p>
    <w:p w:rsidR="00F31D99" w:rsidRPr="00F31D99" w:rsidRDefault="00F31D99" w:rsidP="00416FC1">
      <w:pPr>
        <w:spacing w:line="480" w:lineRule="auto"/>
        <w:ind w:firstLine="720"/>
      </w:pPr>
      <w:r>
        <w:t xml:space="preserve">If inflation returns to its historical average of around 3% annually and the expected return on </w:t>
      </w:r>
      <w:r w:rsidR="00546327">
        <w:t xml:space="preserve">long-term </w:t>
      </w:r>
      <w:r>
        <w:t>taxable bonds also returns to its historical average</w:t>
      </w:r>
      <w:r w:rsidR="00546327">
        <w:t xml:space="preserve"> of around 6%</w:t>
      </w:r>
      <w:r w:rsidR="00196513">
        <w:t>,</w:t>
      </w:r>
      <w:r w:rsidR="00546327">
        <w:t xml:space="preserve"> then following the traditional view and reversing the Stocks In – Bonds Out asset location </w:t>
      </w:r>
      <w:r w:rsidR="00880AA1">
        <w:t xml:space="preserve">will be </w:t>
      </w:r>
      <w:r w:rsidR="00546327">
        <w:t>tax</w:t>
      </w:r>
      <w:r w:rsidR="00243946">
        <w:t xml:space="preserve"> </w:t>
      </w:r>
      <w:r w:rsidR="00546327">
        <w:t xml:space="preserve">efficient. However, until then, following a Stocks In </w:t>
      </w:r>
      <w:r w:rsidR="00BA6014">
        <w:t xml:space="preserve">(i.e., inside retirement accounts) </w:t>
      </w:r>
      <w:r w:rsidR="00546327">
        <w:t xml:space="preserve">– Bonds Out </w:t>
      </w:r>
      <w:r w:rsidR="00BA6014">
        <w:t xml:space="preserve">(i.e., in taxable accounts) </w:t>
      </w:r>
      <w:r w:rsidR="00546327">
        <w:t xml:space="preserve">strategy for all but </w:t>
      </w:r>
      <w:r w:rsidR="00BA6014">
        <w:t>high</w:t>
      </w:r>
      <w:r w:rsidR="00196513">
        <w:t>-</w:t>
      </w:r>
      <w:r w:rsidR="00BA6014">
        <w:t>yield</w:t>
      </w:r>
      <w:r w:rsidR="00EB6C7C">
        <w:t xml:space="preserve"> (i.e., junk)</w:t>
      </w:r>
      <w:r w:rsidR="00BA6014">
        <w:t xml:space="preserve"> </w:t>
      </w:r>
      <w:r w:rsidR="00546327">
        <w:t>bonds is the wealth</w:t>
      </w:r>
      <w:r w:rsidR="001B6682">
        <w:t>-</w:t>
      </w:r>
      <w:r w:rsidR="00546327">
        <w:t>maximizing strategy for almost every individual client</w:t>
      </w:r>
      <w:r w:rsidR="00BA6014">
        <w:t xml:space="preserve"> that invests more in a year than is allowed inside </w:t>
      </w:r>
      <w:r w:rsidR="00196513">
        <w:t xml:space="preserve">the client’s </w:t>
      </w:r>
      <w:r w:rsidR="00BA6014">
        <w:t>retirement accounts.</w:t>
      </w:r>
    </w:p>
    <w:p w:rsidR="00BA69E4" w:rsidRPr="00BA69E4" w:rsidRDefault="00BA69E4" w:rsidP="00BA69E4">
      <w:pPr>
        <w:spacing w:line="276" w:lineRule="auto"/>
        <w:rPr>
          <w:b/>
        </w:rPr>
      </w:pPr>
    </w:p>
    <w:p w:rsidR="00BA69E4" w:rsidRDefault="00BA69E4">
      <w:pPr>
        <w:spacing w:after="200" w:line="276" w:lineRule="auto"/>
      </w:pPr>
    </w:p>
    <w:p w:rsidR="002202B9" w:rsidRDefault="002202B9">
      <w:pPr>
        <w:spacing w:after="200" w:line="276" w:lineRule="auto"/>
        <w:rPr>
          <w:b/>
        </w:rPr>
      </w:pPr>
      <w:r>
        <w:rPr>
          <w:b/>
        </w:rPr>
        <w:br w:type="page"/>
      </w:r>
    </w:p>
    <w:p w:rsidR="0035538F" w:rsidRDefault="003A467C" w:rsidP="000F7EFE">
      <w:pPr>
        <w:spacing w:after="200" w:line="480" w:lineRule="auto"/>
        <w:rPr>
          <w:b/>
        </w:rPr>
      </w:pPr>
      <w:r w:rsidRPr="003A467C">
        <w:rPr>
          <w:b/>
        </w:rPr>
        <w:lastRenderedPageBreak/>
        <w:t>References</w:t>
      </w:r>
    </w:p>
    <w:p w:rsidR="00A63DC0" w:rsidRDefault="004743EA" w:rsidP="000F7EFE">
      <w:pPr>
        <w:pStyle w:val="Heading1"/>
        <w:spacing w:line="480" w:lineRule="auto"/>
        <w:jc w:val="left"/>
        <w:rPr>
          <w:b w:val="0"/>
        </w:rPr>
      </w:pPr>
      <w:proofErr w:type="gramStart"/>
      <w:r w:rsidRPr="004743EA">
        <w:rPr>
          <w:b w:val="0"/>
        </w:rPr>
        <w:t>Anderson, Kenneth</w:t>
      </w:r>
      <w:r w:rsidR="004C28A6">
        <w:rPr>
          <w:b w:val="0"/>
        </w:rPr>
        <w:t>,</w:t>
      </w:r>
      <w:r w:rsidRPr="004743EA">
        <w:rPr>
          <w:b w:val="0"/>
        </w:rPr>
        <w:t xml:space="preserve"> and Daniel Murphy.</w:t>
      </w:r>
      <w:proofErr w:type="gramEnd"/>
      <w:r w:rsidRPr="004743EA">
        <w:rPr>
          <w:b w:val="0"/>
        </w:rPr>
        <w:t xml:space="preserve"> 2014. “Stocks and Bonds: What to Put In</w:t>
      </w:r>
      <w:r>
        <w:rPr>
          <w:b w:val="0"/>
        </w:rPr>
        <w:t xml:space="preserve"> </w:t>
      </w:r>
      <w:r w:rsidRPr="004743EA">
        <w:rPr>
          <w:b w:val="0"/>
        </w:rPr>
        <w:t>and What to Leave Out of</w:t>
      </w:r>
      <w:r>
        <w:rPr>
          <w:b w:val="0"/>
        </w:rPr>
        <w:t xml:space="preserve"> </w:t>
      </w:r>
      <w:r w:rsidRPr="004743EA">
        <w:rPr>
          <w:b w:val="0"/>
        </w:rPr>
        <w:t>Individual Retirement Accounts</w:t>
      </w:r>
      <w:r>
        <w:rPr>
          <w:b w:val="0"/>
        </w:rPr>
        <w:t xml:space="preserve"> </w:t>
      </w:r>
      <w:r w:rsidRPr="004743EA">
        <w:rPr>
          <w:b w:val="0"/>
        </w:rPr>
        <w:t>and Qualified Plans</w:t>
      </w:r>
      <w:r>
        <w:rPr>
          <w:b w:val="0"/>
        </w:rPr>
        <w:t>.</w:t>
      </w:r>
      <w:r w:rsidRPr="004743EA">
        <w:rPr>
          <w:b w:val="0"/>
        </w:rPr>
        <w:t xml:space="preserve">” </w:t>
      </w:r>
      <w:r w:rsidRPr="004743EA">
        <w:rPr>
          <w:b w:val="0"/>
          <w:i/>
        </w:rPr>
        <w:t>Journal of Financial Service Professionals</w:t>
      </w:r>
      <w:r w:rsidRPr="004743EA">
        <w:rPr>
          <w:b w:val="0"/>
        </w:rPr>
        <w:t xml:space="preserve"> </w:t>
      </w:r>
      <w:r w:rsidR="004A6454">
        <w:rPr>
          <w:b w:val="0"/>
        </w:rPr>
        <w:t xml:space="preserve">68 (5) </w:t>
      </w:r>
      <w:r w:rsidR="004C28A6">
        <w:rPr>
          <w:b w:val="0"/>
        </w:rPr>
        <w:t>(</w:t>
      </w:r>
      <w:r w:rsidRPr="004743EA">
        <w:rPr>
          <w:b w:val="0"/>
        </w:rPr>
        <w:t>September</w:t>
      </w:r>
      <w:r w:rsidR="004C28A6">
        <w:rPr>
          <w:b w:val="0"/>
        </w:rPr>
        <w:t>)</w:t>
      </w:r>
      <w:r>
        <w:rPr>
          <w:b w:val="0"/>
        </w:rPr>
        <w:t>: 39</w:t>
      </w:r>
      <w:r w:rsidR="00553193">
        <w:rPr>
          <w:b w:val="0"/>
        </w:rPr>
        <w:t>–</w:t>
      </w:r>
      <w:r>
        <w:rPr>
          <w:b w:val="0"/>
        </w:rPr>
        <w:t>52.</w:t>
      </w:r>
    </w:p>
    <w:p w:rsidR="007F2947" w:rsidRDefault="00300477" w:rsidP="000F7EFE">
      <w:pPr>
        <w:spacing w:after="200" w:line="480" w:lineRule="auto"/>
      </w:pPr>
      <w:r>
        <w:t xml:space="preserve">Clements, Jonathan. </w:t>
      </w:r>
      <w:proofErr w:type="gramStart"/>
      <w:r>
        <w:t>201</w:t>
      </w:r>
      <w:r w:rsidR="00BA6014">
        <w:t>6</w:t>
      </w:r>
      <w:r>
        <w:t xml:space="preserve">. </w:t>
      </w:r>
      <w:r>
        <w:rPr>
          <w:i/>
        </w:rPr>
        <w:t>Jonathan Clements Money Guide 201</w:t>
      </w:r>
      <w:r w:rsidR="00BA6014">
        <w:rPr>
          <w:i/>
        </w:rPr>
        <w:t>6</w:t>
      </w:r>
      <w:r>
        <w:t>.</w:t>
      </w:r>
      <w:proofErr w:type="gramEnd"/>
      <w:r w:rsidR="004A6454">
        <w:t xml:space="preserve"> New York City, </w:t>
      </w:r>
      <w:r>
        <w:t>Jonathan Clements LLC.</w:t>
      </w:r>
    </w:p>
    <w:p w:rsidR="0056598C" w:rsidRPr="0056598C" w:rsidRDefault="0056598C" w:rsidP="000F7EFE">
      <w:pPr>
        <w:spacing w:after="200" w:line="480" w:lineRule="auto"/>
      </w:pPr>
      <w:proofErr w:type="gramStart"/>
      <w:r w:rsidRPr="0056598C">
        <w:t xml:space="preserve">Dammon, </w:t>
      </w:r>
      <w:r>
        <w:t xml:space="preserve">Robert M., </w:t>
      </w:r>
      <w:r w:rsidR="004C28A6">
        <w:t xml:space="preserve">Chester S. </w:t>
      </w:r>
      <w:r w:rsidRPr="0056598C">
        <w:t xml:space="preserve">Spatt, </w:t>
      </w:r>
      <w:r w:rsidR="00AA2625">
        <w:t xml:space="preserve">and </w:t>
      </w:r>
      <w:r>
        <w:t xml:space="preserve">Harold </w:t>
      </w:r>
      <w:r w:rsidR="00AA2625">
        <w:t xml:space="preserve">H. </w:t>
      </w:r>
      <w:r w:rsidRPr="0056598C">
        <w:t>Zhang</w:t>
      </w:r>
      <w:r>
        <w:t>.</w:t>
      </w:r>
      <w:proofErr w:type="gramEnd"/>
      <w:r w:rsidRPr="0056598C">
        <w:t xml:space="preserve"> </w:t>
      </w:r>
      <w:r>
        <w:t>2004. “Optimal Asset Location and Allocation with Tax</w:t>
      </w:r>
      <w:r w:rsidR="00D45CED">
        <w:t>a</w:t>
      </w:r>
      <w:r>
        <w:t xml:space="preserve">ble and Tax-Deferred Investing.” </w:t>
      </w:r>
      <w:r>
        <w:rPr>
          <w:i/>
        </w:rPr>
        <w:t>Journal of Finance</w:t>
      </w:r>
      <w:r>
        <w:t xml:space="preserve"> </w:t>
      </w:r>
      <w:r w:rsidR="00633CEA">
        <w:t>59 (3)</w:t>
      </w:r>
      <w:r>
        <w:t>: 999</w:t>
      </w:r>
      <w:r w:rsidR="00AA2625">
        <w:t>–</w:t>
      </w:r>
      <w:r>
        <w:t>1037</w:t>
      </w:r>
      <w:r w:rsidR="00AA2625">
        <w:t>.</w:t>
      </w:r>
    </w:p>
    <w:p w:rsidR="00DB4F3B" w:rsidRDefault="0056598C" w:rsidP="000F7EFE">
      <w:pPr>
        <w:spacing w:after="200" w:line="480" w:lineRule="auto"/>
      </w:pPr>
      <w:proofErr w:type="gramStart"/>
      <w:r w:rsidRPr="0056598C">
        <w:t>Daryan</w:t>
      </w:r>
      <w:r w:rsidR="00DB4F3B">
        <w:t xml:space="preserve">ani, Gobind, and Chris </w:t>
      </w:r>
      <w:r w:rsidRPr="0056598C">
        <w:t>Cordaro</w:t>
      </w:r>
      <w:r w:rsidR="00DB4F3B">
        <w:t>.</w:t>
      </w:r>
      <w:proofErr w:type="gramEnd"/>
      <w:r w:rsidRPr="0056598C">
        <w:t xml:space="preserve"> 2005</w:t>
      </w:r>
      <w:r w:rsidR="00DB4F3B">
        <w:t xml:space="preserve">. “Asset Location: A Generic Framework for Maximizing After-Tax Wealth.” </w:t>
      </w:r>
      <w:r w:rsidR="00DB4F3B">
        <w:rPr>
          <w:i/>
        </w:rPr>
        <w:t>Journal of Financial Planning</w:t>
      </w:r>
      <w:r w:rsidR="00DB4F3B">
        <w:t xml:space="preserve"> 18 (1): 44–54.</w:t>
      </w:r>
    </w:p>
    <w:p w:rsidR="006F0612" w:rsidRDefault="006F0612" w:rsidP="006F0612">
      <w:pPr>
        <w:spacing w:after="200" w:line="480" w:lineRule="auto"/>
      </w:pPr>
      <w:proofErr w:type="gramStart"/>
      <w:r>
        <w:t>Geisler, Greg, and David Hulse.</w:t>
      </w:r>
      <w:proofErr w:type="gramEnd"/>
      <w:r>
        <w:t xml:space="preserve"> 2016. “The Taxation of Social Security Benefits and Planning Implications.” </w:t>
      </w:r>
      <w:r>
        <w:rPr>
          <w:i/>
        </w:rPr>
        <w:t>Journal of Financial Planning</w:t>
      </w:r>
      <w:r>
        <w:t xml:space="preserve"> </w:t>
      </w:r>
      <w:r w:rsidR="0062095E">
        <w:t>29</w:t>
      </w:r>
      <w:r w:rsidR="00CC5B43">
        <w:t xml:space="preserve"> </w:t>
      </w:r>
      <w:r w:rsidR="0062095E">
        <w:t>(5)</w:t>
      </w:r>
      <w:r>
        <w:t>: 52–63.</w:t>
      </w:r>
    </w:p>
    <w:p w:rsidR="0056598C" w:rsidRPr="00AA2625" w:rsidRDefault="0056598C" w:rsidP="000F7EFE">
      <w:pPr>
        <w:spacing w:after="200" w:line="480" w:lineRule="auto"/>
      </w:pPr>
      <w:proofErr w:type="gramStart"/>
      <w:r w:rsidRPr="0056598C">
        <w:t>Horan</w:t>
      </w:r>
      <w:r w:rsidR="00AA2625">
        <w:t>, Stephen M.,</w:t>
      </w:r>
      <w:r w:rsidRPr="0056598C">
        <w:t xml:space="preserve"> and </w:t>
      </w:r>
      <w:r w:rsidR="00AA2625">
        <w:t xml:space="preserve">Ashraf </w:t>
      </w:r>
      <w:r w:rsidRPr="0056598C">
        <w:t>Al Zaman</w:t>
      </w:r>
      <w:r w:rsidR="00AA2625">
        <w:t>.</w:t>
      </w:r>
      <w:proofErr w:type="gramEnd"/>
      <w:r w:rsidR="00AA2625">
        <w:t xml:space="preserve"> 2008. “Tax-Adjusted Portfolio Optimization and Asset Location: Extensions and Synthesis.” </w:t>
      </w:r>
      <w:r w:rsidR="00AA2625">
        <w:rPr>
          <w:i/>
        </w:rPr>
        <w:t>Journal of Wealth Management</w:t>
      </w:r>
      <w:r w:rsidR="00AA2625">
        <w:t xml:space="preserve"> </w:t>
      </w:r>
      <w:r w:rsidR="004A6454">
        <w:t xml:space="preserve">11 (3) </w:t>
      </w:r>
      <w:r w:rsidR="00AA2625">
        <w:t>(</w:t>
      </w:r>
      <w:proofErr w:type="gramStart"/>
      <w:r w:rsidR="00AA2625">
        <w:t>Winter</w:t>
      </w:r>
      <w:proofErr w:type="gramEnd"/>
      <w:r w:rsidR="00AA2625">
        <w:t>): 56–73.</w:t>
      </w:r>
    </w:p>
    <w:p w:rsidR="00DE3425" w:rsidRPr="00DE3425" w:rsidRDefault="00DE3425" w:rsidP="000F7EFE">
      <w:pPr>
        <w:spacing w:after="200" w:line="480" w:lineRule="auto"/>
      </w:pPr>
      <w:r>
        <w:t xml:space="preserve">Hulse, David. 2004. “A Comparison of Taxable Accounts and IRAs for Holding Equity Investments.” </w:t>
      </w:r>
      <w:r>
        <w:rPr>
          <w:i/>
        </w:rPr>
        <w:t>Journal of Taxation of Investments</w:t>
      </w:r>
      <w:r w:rsidR="002F2ED3">
        <w:t xml:space="preserve"> 21</w:t>
      </w:r>
      <w:r w:rsidR="00633CEA">
        <w:t xml:space="preserve"> (</w:t>
      </w:r>
      <w:r w:rsidR="002F2ED3">
        <w:t>2</w:t>
      </w:r>
      <w:r w:rsidR="00633CEA">
        <w:t>)</w:t>
      </w:r>
      <w:r w:rsidR="002F2ED3">
        <w:t>: 196</w:t>
      </w:r>
      <w:r w:rsidR="004A6454">
        <w:t>–</w:t>
      </w:r>
      <w:r w:rsidR="002F2ED3">
        <w:t>212.</w:t>
      </w:r>
    </w:p>
    <w:p w:rsidR="00BA6014" w:rsidRDefault="00BA6014" w:rsidP="000F7EFE">
      <w:pPr>
        <w:spacing w:after="200" w:line="480" w:lineRule="auto"/>
      </w:pPr>
      <w:proofErr w:type="gramStart"/>
      <w:r>
        <w:t>Morningstar.</w:t>
      </w:r>
      <w:proofErr w:type="gramEnd"/>
      <w:r>
        <w:t xml:space="preserve"> 2015. “</w:t>
      </w:r>
      <w:r w:rsidRPr="004952E8">
        <w:rPr>
          <w:i/>
        </w:rPr>
        <w:t>Ibbotson SBBI 2015 Classic Yearbook: Market Results for Stocks, Bonds, Bills, and Inflation 1926–2014</w:t>
      </w:r>
      <w:r>
        <w:t>.</w:t>
      </w:r>
      <w:r w:rsidR="004952E8">
        <w:t xml:space="preserve"> Chicago, IL. Morningstar, Inc.</w:t>
      </w:r>
    </w:p>
    <w:p w:rsidR="0056598C" w:rsidRPr="00633CEA" w:rsidRDefault="0056598C" w:rsidP="000F7EFE">
      <w:pPr>
        <w:spacing w:after="200" w:line="480" w:lineRule="auto"/>
      </w:pPr>
      <w:r w:rsidRPr="0056598C">
        <w:t>Reichenstein</w:t>
      </w:r>
      <w:r w:rsidR="00AA2625">
        <w:t>, William</w:t>
      </w:r>
      <w:r w:rsidR="00633CEA">
        <w:t xml:space="preserve">. </w:t>
      </w:r>
      <w:proofErr w:type="gramStart"/>
      <w:r w:rsidR="00633CEA">
        <w:t>2007</w:t>
      </w:r>
      <w:r w:rsidR="00633CEA" w:rsidRPr="004952E8">
        <w:t>a</w:t>
      </w:r>
      <w:r w:rsidR="00633CEA">
        <w:t xml:space="preserve">. “Implications of Principal, Risk, and Returns Sharing </w:t>
      </w:r>
      <w:r w:rsidR="004952E8">
        <w:t>A</w:t>
      </w:r>
      <w:r w:rsidR="00633CEA">
        <w:t>cross Savings Vehicles.”</w:t>
      </w:r>
      <w:proofErr w:type="gramEnd"/>
      <w:r w:rsidR="00633CEA">
        <w:t xml:space="preserve"> </w:t>
      </w:r>
      <w:r w:rsidR="00633CEA">
        <w:rPr>
          <w:i/>
        </w:rPr>
        <w:t>Financial Services Review</w:t>
      </w:r>
      <w:r w:rsidR="00633CEA">
        <w:t xml:space="preserve"> 16: 1–17.</w:t>
      </w:r>
    </w:p>
    <w:p w:rsidR="00633CEA" w:rsidRDefault="00633CEA" w:rsidP="000F7EFE">
      <w:pPr>
        <w:spacing w:after="200" w:line="480" w:lineRule="auto"/>
      </w:pPr>
      <w:r>
        <w:lastRenderedPageBreak/>
        <w:t>Reichenstein, William. 2007</w:t>
      </w:r>
      <w:r w:rsidRPr="004952E8">
        <w:t>b</w:t>
      </w:r>
      <w:r>
        <w:t xml:space="preserve">. “Calculating After-Tax Asset Allocation </w:t>
      </w:r>
      <w:r w:rsidR="004C28A6">
        <w:t>I</w:t>
      </w:r>
      <w:r>
        <w:t xml:space="preserve">s Key to Determining Risk, Returns, and Asset Location.” </w:t>
      </w:r>
      <w:r>
        <w:rPr>
          <w:i/>
        </w:rPr>
        <w:t>Journal of Financial Planning</w:t>
      </w:r>
      <w:r>
        <w:t xml:space="preserve"> 20 (7): 44–53.</w:t>
      </w:r>
    </w:p>
    <w:p w:rsidR="00AA2625" w:rsidRPr="00633CEA" w:rsidRDefault="00633CEA" w:rsidP="000F7EFE">
      <w:pPr>
        <w:spacing w:after="200" w:line="480" w:lineRule="auto"/>
      </w:pPr>
      <w:proofErr w:type="gramStart"/>
      <w:r>
        <w:t>Reichenstein, William, and William Meyer.</w:t>
      </w:r>
      <w:proofErr w:type="gramEnd"/>
      <w:r>
        <w:t xml:space="preserve"> 2013. “The Asset Location Decision Revisited.” </w:t>
      </w:r>
      <w:r>
        <w:rPr>
          <w:i/>
        </w:rPr>
        <w:t>Journal of Financial Planning</w:t>
      </w:r>
      <w:r>
        <w:t xml:space="preserve"> 26 (11): 48–55. </w:t>
      </w:r>
    </w:p>
    <w:p w:rsidR="001D524C" w:rsidRDefault="001D524C" w:rsidP="000F7EFE">
      <w:pPr>
        <w:spacing w:after="200" w:line="480" w:lineRule="auto"/>
      </w:pPr>
      <w:proofErr w:type="gramStart"/>
      <w:r>
        <w:t xml:space="preserve">Scholes, </w:t>
      </w:r>
      <w:r w:rsidR="004952E8">
        <w:t xml:space="preserve">Myron, Mark </w:t>
      </w:r>
      <w:r>
        <w:t xml:space="preserve">Wolfson, </w:t>
      </w:r>
      <w:r w:rsidR="004952E8">
        <w:t xml:space="preserve">Merle </w:t>
      </w:r>
      <w:r>
        <w:t xml:space="preserve">Erickson, </w:t>
      </w:r>
      <w:r w:rsidR="004952E8">
        <w:t xml:space="preserve">Michelle </w:t>
      </w:r>
      <w:r>
        <w:t xml:space="preserve">Hanlon, </w:t>
      </w:r>
      <w:r w:rsidR="004952E8">
        <w:t xml:space="preserve">Ed </w:t>
      </w:r>
      <w:r>
        <w:t>Maydew</w:t>
      </w:r>
      <w:r w:rsidR="00D1521E">
        <w:t>,</w:t>
      </w:r>
      <w:r>
        <w:t xml:space="preserve"> and </w:t>
      </w:r>
      <w:r w:rsidR="004952E8">
        <w:t xml:space="preserve">Terry </w:t>
      </w:r>
      <w:r>
        <w:t>Shevlin.</w:t>
      </w:r>
      <w:proofErr w:type="gramEnd"/>
      <w:r>
        <w:t xml:space="preserve"> 2013. </w:t>
      </w:r>
      <w:r w:rsidRPr="001D524C">
        <w:rPr>
          <w:i/>
        </w:rPr>
        <w:t>Taxes and Business Strategy: A Planning Approach</w:t>
      </w:r>
      <w:r w:rsidR="00E02902">
        <w:t>.</w:t>
      </w:r>
      <w:r>
        <w:t xml:space="preserve"> </w:t>
      </w:r>
      <w:r w:rsidR="004952E8">
        <w:t xml:space="preserve">Upper Saddle River, NJ. </w:t>
      </w:r>
      <w:proofErr w:type="gramStart"/>
      <w:r>
        <w:t>Pearson/Prentice Hall</w:t>
      </w:r>
      <w:r w:rsidR="00E02902">
        <w:t>.</w:t>
      </w:r>
      <w:proofErr w:type="gramEnd"/>
    </w:p>
    <w:p w:rsidR="00DE3425" w:rsidRDefault="0056598C" w:rsidP="000F7EFE">
      <w:pPr>
        <w:spacing w:after="200" w:line="480" w:lineRule="auto"/>
      </w:pPr>
      <w:r w:rsidRPr="0056598C">
        <w:t>Shynkevich</w:t>
      </w:r>
      <w:r w:rsidR="00DB4F3B">
        <w:t>, Andrei.</w:t>
      </w:r>
      <w:r w:rsidRPr="0056598C">
        <w:t xml:space="preserve"> 2010</w:t>
      </w:r>
      <w:r w:rsidR="00DB4F3B">
        <w:t>. “Historical Performance of Asset Location Strategies and Its Implications for Investors’ Retirement Portfolios.”</w:t>
      </w:r>
      <w:r w:rsidR="00F91228">
        <w:t xml:space="preserve"> </w:t>
      </w:r>
      <w:r w:rsidR="00F91228">
        <w:rPr>
          <w:i/>
        </w:rPr>
        <w:t>Journal of Wealth Management</w:t>
      </w:r>
      <w:r w:rsidR="00F91228">
        <w:t xml:space="preserve"> </w:t>
      </w:r>
      <w:r w:rsidR="004A6454">
        <w:t xml:space="preserve">13 (2) </w:t>
      </w:r>
      <w:r w:rsidR="00F91228">
        <w:t>(</w:t>
      </w:r>
      <w:proofErr w:type="gramStart"/>
      <w:r w:rsidR="00F91228">
        <w:t>Fall</w:t>
      </w:r>
      <w:proofErr w:type="gramEnd"/>
      <w:r w:rsidR="00F91228">
        <w:t>): 23–33.</w:t>
      </w:r>
    </w:p>
    <w:p w:rsidR="009500FF" w:rsidRDefault="009500FF" w:rsidP="000F7EFE">
      <w:pPr>
        <w:spacing w:after="200" w:line="480" w:lineRule="auto"/>
      </w:pPr>
      <w:proofErr w:type="gramStart"/>
      <w:r>
        <w:t>Vanguard.</w:t>
      </w:r>
      <w:proofErr w:type="gramEnd"/>
      <w:r>
        <w:t xml:space="preserve"> 2015. “Saving for Retirement: ‘Location, </w:t>
      </w:r>
      <w:r w:rsidR="00E02902">
        <w:t>L</w:t>
      </w:r>
      <w:r>
        <w:t xml:space="preserve">ocation, </w:t>
      </w:r>
      <w:r w:rsidR="00E02902">
        <w:t>L</w:t>
      </w:r>
      <w:r>
        <w:t>ocation</w:t>
      </w:r>
      <w:r w:rsidR="00E02902">
        <w:t>.</w:t>
      </w:r>
      <w:r>
        <w:t>’”</w:t>
      </w:r>
      <w:r w:rsidR="006B3088">
        <w:t xml:space="preserve"> </w:t>
      </w:r>
      <w:hyperlink r:id="rId12" w:history="1">
        <w:r w:rsidRPr="000414A5">
          <w:rPr>
            <w:rStyle w:val="Hyperlink"/>
          </w:rPr>
          <w:t>https://personal.vanguard.com/us/insights/article/ira-insights-location-032015</w:t>
        </w:r>
      </w:hyperlink>
    </w:p>
    <w:p w:rsidR="009500FF" w:rsidRPr="00300477" w:rsidRDefault="009500FF" w:rsidP="000F7EFE">
      <w:pPr>
        <w:spacing w:after="200" w:line="480" w:lineRule="auto"/>
      </w:pPr>
    </w:p>
    <w:sectPr w:rsidR="009500FF" w:rsidRPr="00300477" w:rsidSect="003724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64" w:rsidRDefault="00751664" w:rsidP="00BA53FD">
      <w:r>
        <w:separator/>
      </w:r>
    </w:p>
  </w:endnote>
  <w:endnote w:type="continuationSeparator" w:id="0">
    <w:p w:rsidR="00751664" w:rsidRDefault="00751664" w:rsidP="00BA53FD">
      <w:r>
        <w:continuationSeparator/>
      </w:r>
    </w:p>
  </w:endnote>
  <w:endnote w:id="1">
    <w:p w:rsidR="00751664" w:rsidRDefault="00751664" w:rsidP="0032114B">
      <w:pPr>
        <w:pStyle w:val="EndnoteText"/>
        <w:spacing w:line="480" w:lineRule="auto"/>
        <w:rPr>
          <w:sz w:val="24"/>
          <w:szCs w:val="24"/>
        </w:rPr>
      </w:pPr>
      <w:r w:rsidRPr="0032114B">
        <w:rPr>
          <w:rStyle w:val="EndnoteReference"/>
          <w:sz w:val="24"/>
          <w:szCs w:val="24"/>
        </w:rPr>
        <w:endnoteRef/>
      </w:r>
      <w:r w:rsidRPr="0032114B">
        <w:rPr>
          <w:sz w:val="24"/>
          <w:szCs w:val="24"/>
        </w:rPr>
        <w:t xml:space="preserve"> </w:t>
      </w:r>
      <w:r>
        <w:rPr>
          <w:sz w:val="24"/>
          <w:szCs w:val="24"/>
        </w:rPr>
        <w:t>For instance, in “Are You Holding Your Assets in the Right Types of Accounts,” by Christine Benz on Morningstar.com (3/2/17), the advice given was, “</w:t>
      </w:r>
      <w:r w:rsidRPr="0064564D">
        <w:rPr>
          <w:sz w:val="24"/>
          <w:szCs w:val="24"/>
        </w:rPr>
        <w:t xml:space="preserve">high-quality bonds and bond funds </w:t>
      </w:r>
      <w:r>
        <w:rPr>
          <w:sz w:val="24"/>
          <w:szCs w:val="24"/>
        </w:rPr>
        <w:t xml:space="preserve">[are] </w:t>
      </w:r>
      <w:r w:rsidRPr="0064564D">
        <w:rPr>
          <w:sz w:val="24"/>
          <w:szCs w:val="24"/>
        </w:rPr>
        <w:t xml:space="preserve">a better fit for tax-sheltered accounts than for taxable </w:t>
      </w:r>
      <w:r w:rsidR="00BA141D">
        <w:rPr>
          <w:sz w:val="24"/>
          <w:szCs w:val="24"/>
        </w:rPr>
        <w:t xml:space="preserve">accounts </w:t>
      </w:r>
      <w:r w:rsidRPr="0064564D">
        <w:rPr>
          <w:sz w:val="24"/>
          <w:szCs w:val="24"/>
        </w:rPr>
        <w:t>because their payouts are taxed at an inve</w:t>
      </w:r>
      <w:r>
        <w:rPr>
          <w:sz w:val="24"/>
          <w:szCs w:val="24"/>
        </w:rPr>
        <w:t>stor</w:t>
      </w:r>
      <w:r w:rsidR="00BA141D">
        <w:rPr>
          <w:sz w:val="24"/>
          <w:szCs w:val="24"/>
        </w:rPr>
        <w:t>’</w:t>
      </w:r>
      <w:r>
        <w:rPr>
          <w:sz w:val="24"/>
          <w:szCs w:val="24"/>
        </w:rPr>
        <w:t>s ordinary income tax rate,” and “</w:t>
      </w:r>
      <w:r w:rsidRPr="0064564D">
        <w:rPr>
          <w:sz w:val="24"/>
          <w:szCs w:val="24"/>
        </w:rPr>
        <w:t xml:space="preserve">stocks and stock funds are generally a </w:t>
      </w:r>
      <w:r>
        <w:rPr>
          <w:sz w:val="24"/>
          <w:szCs w:val="24"/>
        </w:rPr>
        <w:t>better bet for taxable accounts.”</w:t>
      </w:r>
    </w:p>
    <w:p w:rsidR="00751664" w:rsidRPr="0032114B" w:rsidRDefault="00751664" w:rsidP="0032114B">
      <w:pPr>
        <w:pStyle w:val="EndnoteText"/>
        <w:spacing w:line="480" w:lineRule="auto"/>
        <w:rPr>
          <w:sz w:val="24"/>
          <w:szCs w:val="24"/>
        </w:rPr>
      </w:pPr>
    </w:p>
  </w:endnote>
  <w:endnote w:id="2">
    <w:p w:rsidR="00751664" w:rsidRDefault="00751664" w:rsidP="00961DD8">
      <w:pPr>
        <w:pStyle w:val="EndnoteText"/>
        <w:spacing w:line="480" w:lineRule="auto"/>
      </w:pPr>
      <w:r w:rsidRPr="006172DD">
        <w:rPr>
          <w:rStyle w:val="EndnoteReference"/>
          <w:sz w:val="24"/>
          <w:szCs w:val="24"/>
        </w:rPr>
        <w:endnoteRef/>
      </w:r>
      <w:r w:rsidRPr="006172DD">
        <w:rPr>
          <w:sz w:val="24"/>
          <w:szCs w:val="24"/>
        </w:rPr>
        <w:t xml:space="preserve"> </w:t>
      </w:r>
      <w:r>
        <w:rPr>
          <w:sz w:val="24"/>
          <w:szCs w:val="24"/>
        </w:rPr>
        <w:t xml:space="preserve">This statement can be proven by plugging rates of return (R) and tax rates (t and g) into the five formulas in Figure 1 later in this article. </w:t>
      </w:r>
      <w:r w:rsidRPr="006172DD">
        <w:rPr>
          <w:sz w:val="24"/>
          <w:szCs w:val="24"/>
        </w:rPr>
        <w:t xml:space="preserve">The only </w:t>
      </w:r>
      <w:r>
        <w:rPr>
          <w:sz w:val="24"/>
          <w:szCs w:val="24"/>
        </w:rPr>
        <w:t xml:space="preserve">two </w:t>
      </w:r>
      <w:r w:rsidRPr="006172DD">
        <w:rPr>
          <w:sz w:val="24"/>
          <w:szCs w:val="24"/>
        </w:rPr>
        <w:t>exception</w:t>
      </w:r>
      <w:r>
        <w:rPr>
          <w:sz w:val="24"/>
          <w:szCs w:val="24"/>
        </w:rPr>
        <w:t>s</w:t>
      </w:r>
      <w:r w:rsidRPr="006172DD">
        <w:rPr>
          <w:sz w:val="24"/>
          <w:szCs w:val="24"/>
        </w:rPr>
        <w:t xml:space="preserve"> </w:t>
      </w:r>
      <w:r>
        <w:rPr>
          <w:sz w:val="24"/>
          <w:szCs w:val="24"/>
        </w:rPr>
        <w:t>to the statement are</w:t>
      </w:r>
      <w:r w:rsidRPr="006172DD">
        <w:rPr>
          <w:sz w:val="24"/>
          <w:szCs w:val="24"/>
        </w:rPr>
        <w:t xml:space="preserve"> a muni bond</w:t>
      </w:r>
      <w:r>
        <w:rPr>
          <w:sz w:val="24"/>
          <w:szCs w:val="24"/>
        </w:rPr>
        <w:t>,</w:t>
      </w:r>
      <w:r w:rsidRPr="006172DD">
        <w:rPr>
          <w:sz w:val="24"/>
          <w:szCs w:val="24"/>
        </w:rPr>
        <w:t xml:space="preserve"> which has the same after-tax return both inside and outside a retirement account</w:t>
      </w:r>
      <w:r>
        <w:rPr>
          <w:sz w:val="24"/>
          <w:szCs w:val="24"/>
        </w:rPr>
        <w:t>, and the unusual case of a 401(k) or deductible IRA contribution when the tax rate is low followed by a distribution n years later when the tax rate is high</w:t>
      </w:r>
      <w:r w:rsidRPr="006172DD">
        <w:t>.</w:t>
      </w:r>
    </w:p>
    <w:p w:rsidR="00751664" w:rsidRDefault="00751664" w:rsidP="00961DD8">
      <w:pPr>
        <w:pStyle w:val="EndnoteText"/>
        <w:spacing w:line="480" w:lineRule="auto"/>
      </w:pPr>
    </w:p>
  </w:endnote>
  <w:endnote w:id="3">
    <w:p w:rsidR="00751664" w:rsidRDefault="00751664" w:rsidP="0032114B">
      <w:pPr>
        <w:pStyle w:val="EndnoteText"/>
        <w:spacing w:line="480" w:lineRule="auto"/>
        <w:rPr>
          <w:sz w:val="24"/>
          <w:szCs w:val="24"/>
        </w:rPr>
      </w:pPr>
      <w:r w:rsidRPr="0032114B">
        <w:rPr>
          <w:rStyle w:val="EndnoteReference"/>
          <w:sz w:val="24"/>
          <w:szCs w:val="24"/>
        </w:rPr>
        <w:endnoteRef/>
      </w:r>
      <w:r w:rsidRPr="0032114B">
        <w:rPr>
          <w:sz w:val="24"/>
          <w:szCs w:val="24"/>
        </w:rPr>
        <w:t xml:space="preserve"> </w:t>
      </w:r>
      <w:r>
        <w:rPr>
          <w:sz w:val="24"/>
          <w:szCs w:val="24"/>
        </w:rPr>
        <w:t xml:space="preserve">The Federal Reserve Bank of Cleveland’s latest inflation expectations (as of March 1, 2017) </w:t>
      </w:r>
      <w:proofErr w:type="gramStart"/>
      <w:r>
        <w:rPr>
          <w:sz w:val="24"/>
          <w:szCs w:val="24"/>
        </w:rPr>
        <w:t>are</w:t>
      </w:r>
      <w:proofErr w:type="gramEnd"/>
      <w:r>
        <w:rPr>
          <w:sz w:val="24"/>
          <w:szCs w:val="24"/>
        </w:rPr>
        <w:t xml:space="preserve"> the following: 1.9% for the next ten years, 2.1% for the next 20 years, and 2.2% for the next 30 years. (Source: </w:t>
      </w:r>
      <w:hyperlink r:id="rId1" w:history="1">
        <w:r w:rsidRPr="007C55B2">
          <w:rPr>
            <w:rStyle w:val="Hyperlink"/>
            <w:sz w:val="24"/>
            <w:szCs w:val="24"/>
          </w:rPr>
          <w:t>https://www.clevelandfed.org/our-research/indicators-and-data/inflation-expectations.aspx</w:t>
        </w:r>
      </w:hyperlink>
      <w:r>
        <w:rPr>
          <w:sz w:val="24"/>
          <w:szCs w:val="24"/>
        </w:rPr>
        <w:t xml:space="preserve">.) Vanguard’s 2017 outlook is that taxable bonds will yield about 2.5% (with expected increases in interest rates, the return on bonds will be less), while stocks will earn double to triple that 2.5% rate. (Source: </w:t>
      </w:r>
      <w:r w:rsidRPr="0034432B">
        <w:rPr>
          <w:sz w:val="24"/>
          <w:szCs w:val="24"/>
        </w:rPr>
        <w:t>https://personal.vanguard.com/us/insights/article/VEMO-global-outlook-122016</w:t>
      </w:r>
      <w:r>
        <w:rPr>
          <w:sz w:val="24"/>
          <w:szCs w:val="24"/>
        </w:rPr>
        <w:t>.)</w:t>
      </w:r>
      <w:r w:rsidRPr="0034432B">
        <w:rPr>
          <w:sz w:val="24"/>
          <w:szCs w:val="24"/>
        </w:rPr>
        <w:t xml:space="preserve"> </w:t>
      </w:r>
      <w:r>
        <w:rPr>
          <w:sz w:val="24"/>
          <w:szCs w:val="24"/>
        </w:rPr>
        <w:t>As further support, Vanguard’s median expectation for the ten-year nominal return on a globally diversified portfolio of 80% stocks and 20% bonds is 6.6% and on 20% stocks and 80% bonds is 3.3%, returns consistent with stocks earning more than double the return of bonds</w:t>
      </w:r>
      <w:r w:rsidR="00BA141D">
        <w:rPr>
          <w:sz w:val="24"/>
          <w:szCs w:val="24"/>
        </w:rPr>
        <w:t>.</w:t>
      </w:r>
      <w:r>
        <w:rPr>
          <w:sz w:val="24"/>
          <w:szCs w:val="24"/>
        </w:rPr>
        <w:t xml:space="preserve"> </w:t>
      </w:r>
      <w:proofErr w:type="gramStart"/>
      <w:r>
        <w:rPr>
          <w:sz w:val="24"/>
          <w:szCs w:val="24"/>
        </w:rPr>
        <w:t xml:space="preserve">(Source: “2017 </w:t>
      </w:r>
      <w:r w:rsidR="00BA141D">
        <w:rPr>
          <w:sz w:val="24"/>
          <w:szCs w:val="24"/>
        </w:rPr>
        <w:t>E</w:t>
      </w:r>
      <w:r>
        <w:rPr>
          <w:sz w:val="24"/>
          <w:szCs w:val="24"/>
        </w:rPr>
        <w:t xml:space="preserve">conomic and </w:t>
      </w:r>
      <w:r w:rsidR="00BA141D">
        <w:rPr>
          <w:sz w:val="24"/>
          <w:szCs w:val="24"/>
        </w:rPr>
        <w:t>M</w:t>
      </w:r>
      <w:r>
        <w:rPr>
          <w:sz w:val="24"/>
          <w:szCs w:val="24"/>
        </w:rPr>
        <w:t xml:space="preserve">arket </w:t>
      </w:r>
      <w:r w:rsidR="00BA141D">
        <w:rPr>
          <w:sz w:val="24"/>
          <w:szCs w:val="24"/>
        </w:rPr>
        <w:t>O</w:t>
      </w:r>
      <w:r>
        <w:rPr>
          <w:sz w:val="24"/>
          <w:szCs w:val="24"/>
        </w:rPr>
        <w:t>utlook,” available at the same location as above</w:t>
      </w:r>
      <w:r w:rsidR="00BA141D">
        <w:rPr>
          <w:sz w:val="24"/>
          <w:szCs w:val="24"/>
        </w:rPr>
        <w:t>.</w:t>
      </w:r>
      <w:r>
        <w:rPr>
          <w:sz w:val="24"/>
          <w:szCs w:val="24"/>
        </w:rPr>
        <w:t>)</w:t>
      </w:r>
      <w:proofErr w:type="gramEnd"/>
    </w:p>
    <w:p w:rsidR="00751664" w:rsidRPr="0032114B" w:rsidRDefault="00751664" w:rsidP="0032114B">
      <w:pPr>
        <w:pStyle w:val="EndnoteText"/>
        <w:spacing w:line="480" w:lineRule="auto"/>
        <w:rPr>
          <w:sz w:val="24"/>
          <w:szCs w:val="24"/>
        </w:rPr>
      </w:pPr>
    </w:p>
  </w:endnote>
  <w:endnote w:id="4">
    <w:p w:rsidR="00751664" w:rsidRDefault="00751664" w:rsidP="0032114B">
      <w:pPr>
        <w:pStyle w:val="EndnoteText"/>
        <w:spacing w:line="480" w:lineRule="auto"/>
        <w:rPr>
          <w:sz w:val="24"/>
          <w:szCs w:val="24"/>
        </w:rPr>
      </w:pPr>
      <w:r w:rsidRPr="0032114B">
        <w:rPr>
          <w:rStyle w:val="EndnoteReference"/>
          <w:sz w:val="24"/>
          <w:szCs w:val="24"/>
        </w:rPr>
        <w:endnoteRef/>
      </w:r>
      <w:r w:rsidRPr="0032114B">
        <w:rPr>
          <w:sz w:val="24"/>
          <w:szCs w:val="24"/>
        </w:rPr>
        <w:t xml:space="preserve"> </w:t>
      </w:r>
      <w:r>
        <w:rPr>
          <w:sz w:val="24"/>
          <w:szCs w:val="24"/>
        </w:rPr>
        <w:t>Muni bonds are not considered in this article because it is never tax-efficient to own muni bonds inside of a retirement account. In other words, since there are limited amounts that can be contributed to retirement accounts each year and earnings on investments are not taxed when inside a retirement account, investments that trigger income tax if held or sold outside of a retirement account should be the investment choice for inside retirement accounts.</w:t>
      </w:r>
    </w:p>
    <w:p w:rsidR="00751664" w:rsidRPr="0032114B" w:rsidRDefault="00751664" w:rsidP="0032114B">
      <w:pPr>
        <w:pStyle w:val="EndnoteText"/>
        <w:spacing w:line="480" w:lineRule="auto"/>
        <w:rPr>
          <w:sz w:val="24"/>
          <w:szCs w:val="24"/>
        </w:rPr>
      </w:pPr>
    </w:p>
  </w:endnote>
  <w:endnote w:id="5">
    <w:p w:rsidR="00751664" w:rsidRPr="005A4AA1" w:rsidRDefault="00751664" w:rsidP="00961DD8">
      <w:pPr>
        <w:pStyle w:val="EndnoteText"/>
        <w:spacing w:line="480" w:lineRule="auto"/>
        <w:rPr>
          <w:sz w:val="24"/>
          <w:szCs w:val="24"/>
        </w:rPr>
      </w:pPr>
      <w:r>
        <w:rPr>
          <w:rStyle w:val="EndnoteReference"/>
        </w:rPr>
        <w:endnoteRef/>
      </w:r>
      <w:r>
        <w:rPr>
          <w:sz w:val="24"/>
          <w:szCs w:val="24"/>
        </w:rPr>
        <w:t xml:space="preserve"> These formulas are adapted from Scholes et al. (2013).</w:t>
      </w:r>
    </w:p>
  </w:endnote>
  <w:endnote w:id="6">
    <w:p w:rsidR="00751664" w:rsidRDefault="00751664" w:rsidP="00961DD8">
      <w:pPr>
        <w:pStyle w:val="EndnoteText"/>
        <w:spacing w:line="480" w:lineRule="auto"/>
        <w:rPr>
          <w:sz w:val="24"/>
          <w:szCs w:val="24"/>
        </w:rPr>
      </w:pPr>
    </w:p>
    <w:p w:rsidR="00751664" w:rsidRDefault="00751664" w:rsidP="00961DD8">
      <w:pPr>
        <w:pStyle w:val="EndnoteText"/>
        <w:spacing w:line="480" w:lineRule="auto"/>
        <w:rPr>
          <w:sz w:val="24"/>
          <w:szCs w:val="24"/>
        </w:rPr>
      </w:pPr>
      <w:r w:rsidRPr="006C41A1">
        <w:rPr>
          <w:rStyle w:val="EndnoteReference"/>
          <w:sz w:val="24"/>
          <w:szCs w:val="24"/>
        </w:rPr>
        <w:endnoteRef/>
      </w:r>
      <w:r>
        <w:rPr>
          <w:sz w:val="24"/>
          <w:szCs w:val="24"/>
        </w:rPr>
        <w:t xml:space="preserve"> The </w:t>
      </w:r>
      <w:r w:rsidRPr="00F8781C">
        <w:rPr>
          <w:sz w:val="24"/>
          <w:szCs w:val="24"/>
        </w:rPr>
        <w:t xml:space="preserve">Ibbotson </w:t>
      </w:r>
      <w:r>
        <w:rPr>
          <w:sz w:val="24"/>
          <w:szCs w:val="24"/>
        </w:rPr>
        <w:t xml:space="preserve">yearbook provides both the geometric </w:t>
      </w:r>
      <w:r w:rsidR="00782218">
        <w:rPr>
          <w:sz w:val="24"/>
          <w:szCs w:val="24"/>
        </w:rPr>
        <w:t xml:space="preserve">and arithmetic </w:t>
      </w:r>
      <w:r>
        <w:rPr>
          <w:sz w:val="24"/>
          <w:szCs w:val="24"/>
        </w:rPr>
        <w:t>means. The former is 1</w:t>
      </w:r>
      <w:r w:rsidR="00782218">
        <w:rPr>
          <w:sz w:val="24"/>
          <w:szCs w:val="24"/>
        </w:rPr>
        <w:t>0</w:t>
      </w:r>
      <w:r>
        <w:rPr>
          <w:sz w:val="24"/>
          <w:szCs w:val="24"/>
        </w:rPr>
        <w:t>.1% for large-cap stocks and the latter is 1</w:t>
      </w:r>
      <w:r w:rsidR="00782218">
        <w:rPr>
          <w:sz w:val="24"/>
          <w:szCs w:val="24"/>
        </w:rPr>
        <w:t>2</w:t>
      </w:r>
      <w:r>
        <w:rPr>
          <w:sz w:val="24"/>
          <w:szCs w:val="24"/>
        </w:rPr>
        <w:t xml:space="preserve">.1% for such stocks. The geometric mean is used instead of the arithmetic mean since the former appropriately accounts for how returns compound over time. </w:t>
      </w:r>
    </w:p>
    <w:p w:rsidR="00751664" w:rsidRPr="006C41A1" w:rsidRDefault="00751664" w:rsidP="00961DD8">
      <w:pPr>
        <w:pStyle w:val="EndnoteText"/>
        <w:spacing w:line="480" w:lineRule="auto"/>
        <w:rPr>
          <w:sz w:val="24"/>
          <w:szCs w:val="24"/>
        </w:rPr>
      </w:pPr>
    </w:p>
  </w:endnote>
  <w:endnote w:id="7">
    <w:p w:rsidR="00751664" w:rsidRDefault="00751664" w:rsidP="0032114B">
      <w:pPr>
        <w:pStyle w:val="EndnoteText"/>
        <w:spacing w:line="480" w:lineRule="auto"/>
        <w:rPr>
          <w:sz w:val="24"/>
          <w:szCs w:val="24"/>
        </w:rPr>
      </w:pPr>
      <w:r w:rsidRPr="0032114B">
        <w:rPr>
          <w:rStyle w:val="EndnoteReference"/>
          <w:sz w:val="24"/>
          <w:szCs w:val="24"/>
        </w:rPr>
        <w:endnoteRef/>
      </w:r>
      <w:r w:rsidRPr="0032114B">
        <w:rPr>
          <w:sz w:val="24"/>
          <w:szCs w:val="24"/>
        </w:rPr>
        <w:t xml:space="preserve"> </w:t>
      </w:r>
      <w:r>
        <w:rPr>
          <w:sz w:val="24"/>
          <w:szCs w:val="24"/>
        </w:rPr>
        <w:t>In 2017, $24,000 is the maximum 401(k) contribution allowed by an employee age 50 or over.</w:t>
      </w:r>
    </w:p>
    <w:p w:rsidR="00751664" w:rsidRPr="0032114B" w:rsidRDefault="00751664" w:rsidP="0032114B">
      <w:pPr>
        <w:pStyle w:val="EndnoteText"/>
        <w:spacing w:line="480" w:lineRule="auto"/>
        <w:rPr>
          <w:sz w:val="24"/>
          <w:szCs w:val="24"/>
        </w:rPr>
      </w:pPr>
    </w:p>
  </w:endnote>
  <w:endnote w:id="8">
    <w:p w:rsidR="00751664" w:rsidRDefault="00751664" w:rsidP="00961DD8">
      <w:pPr>
        <w:pStyle w:val="EndnoteText"/>
        <w:spacing w:line="480" w:lineRule="auto"/>
        <w:rPr>
          <w:sz w:val="24"/>
          <w:szCs w:val="24"/>
        </w:rPr>
      </w:pPr>
      <w:r w:rsidRPr="00294584">
        <w:rPr>
          <w:rStyle w:val="EndnoteReference"/>
          <w:sz w:val="24"/>
          <w:szCs w:val="24"/>
        </w:rPr>
        <w:endnoteRef/>
      </w:r>
      <w:r>
        <w:rPr>
          <w:sz w:val="24"/>
          <w:szCs w:val="24"/>
        </w:rPr>
        <w:t xml:space="preserve"> The dividend yield is assumed to be 2.0% because in the last five years (2012 through 2016) the dividend yield on the S&amp;P 500 has averaged approximately 2.0%.</w:t>
      </w:r>
    </w:p>
    <w:p w:rsidR="00751664" w:rsidRPr="00294584" w:rsidRDefault="00751664" w:rsidP="00961DD8">
      <w:pPr>
        <w:pStyle w:val="EndnoteText"/>
        <w:spacing w:line="480" w:lineRule="auto"/>
        <w:rPr>
          <w:sz w:val="24"/>
          <w:szCs w:val="24"/>
        </w:rPr>
      </w:pPr>
    </w:p>
  </w:endnote>
  <w:endnote w:id="9">
    <w:p w:rsidR="00751664" w:rsidRPr="0032114B" w:rsidRDefault="00751664" w:rsidP="0032114B">
      <w:pPr>
        <w:pStyle w:val="EndnoteText"/>
        <w:spacing w:line="480" w:lineRule="auto"/>
        <w:rPr>
          <w:sz w:val="24"/>
          <w:szCs w:val="24"/>
        </w:rPr>
      </w:pPr>
      <w:r w:rsidRPr="0032114B">
        <w:rPr>
          <w:rStyle w:val="EndnoteReference"/>
          <w:sz w:val="24"/>
          <w:szCs w:val="24"/>
        </w:rPr>
        <w:endnoteRef/>
      </w:r>
      <w:r w:rsidRPr="0032114B">
        <w:rPr>
          <w:sz w:val="24"/>
          <w:szCs w:val="24"/>
        </w:rPr>
        <w:t xml:space="preserve"> </w:t>
      </w:r>
      <w:r>
        <w:rPr>
          <w:sz w:val="24"/>
          <w:szCs w:val="24"/>
        </w:rPr>
        <w:t>For simplicity, marginal tax rates are used in the formulas and the analysis. Another assumption thus is that the taxpayer has other ordinary income, besides the TDA distribution, that offsets deductions and utilizes the lower tax rate brackets. Also, see Geisler and Hulse (2016) for discussion of how taxpayers receiving social security can be subject to the “tax torpedo</w:t>
      </w:r>
      <w:r w:rsidR="00BA141D">
        <w:rPr>
          <w:sz w:val="24"/>
          <w:szCs w:val="24"/>
        </w:rPr>
        <w:t>,</w:t>
      </w:r>
      <w:r>
        <w:rPr>
          <w:sz w:val="24"/>
          <w:szCs w:val="24"/>
        </w:rPr>
        <w:t>” which causes significantly higher marginal tax rates in retirement even if the taxpayer is no longer collecting a salary.</w:t>
      </w:r>
    </w:p>
  </w:endnote>
  <w:endnote w:id="10">
    <w:p w:rsidR="00751664" w:rsidRDefault="00751664" w:rsidP="00961DD8">
      <w:pPr>
        <w:pStyle w:val="EndnoteText"/>
        <w:spacing w:line="480" w:lineRule="auto"/>
        <w:rPr>
          <w:sz w:val="24"/>
          <w:szCs w:val="24"/>
        </w:rPr>
      </w:pPr>
    </w:p>
    <w:p w:rsidR="00751664" w:rsidRDefault="00751664" w:rsidP="00961DD8">
      <w:pPr>
        <w:pStyle w:val="EndnoteText"/>
        <w:spacing w:line="480" w:lineRule="auto"/>
        <w:rPr>
          <w:sz w:val="24"/>
          <w:szCs w:val="24"/>
        </w:rPr>
      </w:pPr>
      <w:r w:rsidRPr="00676BFB">
        <w:rPr>
          <w:rStyle w:val="EndnoteReference"/>
          <w:sz w:val="24"/>
          <w:szCs w:val="24"/>
        </w:rPr>
        <w:endnoteRef/>
      </w:r>
      <w:r w:rsidRPr="00676BFB">
        <w:rPr>
          <w:sz w:val="24"/>
          <w:szCs w:val="24"/>
        </w:rPr>
        <w:t xml:space="preserve"> </w:t>
      </w:r>
      <w:r>
        <w:rPr>
          <w:sz w:val="24"/>
          <w:szCs w:val="24"/>
        </w:rPr>
        <w:t>The formula for this hybrid of models 2 and 3 is adapted from Hulse (2004). It is the following:</w:t>
      </w:r>
    </w:p>
    <w:p w:rsidR="00751664" w:rsidRDefault="00751664" w:rsidP="00961DD8">
      <w:pPr>
        <w:pStyle w:val="EndnoteText"/>
        <w:spacing w:line="480" w:lineRule="auto"/>
        <w:rPr>
          <w:sz w:val="24"/>
          <w:szCs w:val="24"/>
        </w:rPr>
      </w:pPr>
    </w:p>
    <w:p w:rsidR="00751664" w:rsidRPr="006C67A1" w:rsidRDefault="00751664" w:rsidP="00961DD8">
      <w:pPr>
        <w:pStyle w:val="EndnoteText"/>
        <w:spacing w:line="480" w:lineRule="auto"/>
        <w:jc w:val="center"/>
        <w:rPr>
          <w:sz w:val="24"/>
          <w:szCs w:val="24"/>
        </w:rPr>
      </w:pPr>
      <w:r>
        <w:rPr>
          <w:sz w:val="24"/>
          <w:szCs w:val="24"/>
        </w:rPr>
        <w:t>ATFV = AT$(1 + R − Rdg)</w:t>
      </w:r>
      <w:r>
        <w:rPr>
          <w:sz w:val="24"/>
          <w:szCs w:val="24"/>
          <w:vertAlign w:val="superscript"/>
        </w:rPr>
        <w:t xml:space="preserve">n </w:t>
      </w:r>
      <w:r>
        <w:rPr>
          <w:sz w:val="24"/>
          <w:szCs w:val="24"/>
        </w:rPr>
        <w:t>– g</w:t>
      </w:r>
      <w:r>
        <w:rPr>
          <w:sz w:val="24"/>
          <w:szCs w:val="24"/>
          <w:vertAlign w:val="subscript"/>
        </w:rPr>
        <w:t>n</w:t>
      </w:r>
      <w:r>
        <w:rPr>
          <w:sz w:val="24"/>
          <w:szCs w:val="24"/>
        </w:rPr>
        <w:t>{AT$(1 + R − Rdg)</w:t>
      </w:r>
      <w:r>
        <w:rPr>
          <w:sz w:val="24"/>
          <w:szCs w:val="24"/>
          <w:vertAlign w:val="superscript"/>
        </w:rPr>
        <w:t xml:space="preserve">n </w:t>
      </w:r>
      <w:r>
        <w:rPr>
          <w:sz w:val="24"/>
          <w:szCs w:val="24"/>
        </w:rPr>
        <w:t>– AT$[(1 − d + (1 + R − Rdg)</w:t>
      </w:r>
      <w:r>
        <w:rPr>
          <w:sz w:val="24"/>
          <w:szCs w:val="24"/>
          <w:vertAlign w:val="superscript"/>
        </w:rPr>
        <w:t xml:space="preserve">n </w:t>
      </w:r>
      <w:r>
        <w:rPr>
          <w:sz w:val="24"/>
          <w:szCs w:val="24"/>
        </w:rPr>
        <w:t>d(1 − g)) / (1 − dg)]}</w:t>
      </w:r>
    </w:p>
    <w:p w:rsidR="00751664" w:rsidRDefault="00751664" w:rsidP="00961DD8">
      <w:pPr>
        <w:pStyle w:val="EndnoteText"/>
        <w:spacing w:line="480" w:lineRule="auto"/>
        <w:rPr>
          <w:sz w:val="24"/>
          <w:szCs w:val="24"/>
        </w:rPr>
      </w:pPr>
    </w:p>
    <w:p w:rsidR="00751664" w:rsidRDefault="00751664" w:rsidP="00961DD8">
      <w:pPr>
        <w:pStyle w:val="EndnoteText"/>
        <w:spacing w:line="480" w:lineRule="auto"/>
        <w:rPr>
          <w:sz w:val="24"/>
          <w:szCs w:val="24"/>
        </w:rPr>
      </w:pPr>
      <w:proofErr w:type="gramStart"/>
      <w:r>
        <w:rPr>
          <w:sz w:val="24"/>
          <w:szCs w:val="24"/>
        </w:rPr>
        <w:t>where</w:t>
      </w:r>
      <w:proofErr w:type="gramEnd"/>
      <w:r>
        <w:rPr>
          <w:sz w:val="24"/>
          <w:szCs w:val="24"/>
        </w:rPr>
        <w:t xml:space="preserve"> d is the </w:t>
      </w:r>
      <w:r w:rsidRPr="00E1538B">
        <w:rPr>
          <w:sz w:val="24"/>
          <w:szCs w:val="24"/>
        </w:rPr>
        <w:t xml:space="preserve">percentage of </w:t>
      </w:r>
      <w:r>
        <w:rPr>
          <w:sz w:val="24"/>
          <w:szCs w:val="24"/>
        </w:rPr>
        <w:t>R</w:t>
      </w:r>
      <w:r w:rsidRPr="00E1538B">
        <w:rPr>
          <w:sz w:val="24"/>
          <w:szCs w:val="24"/>
        </w:rPr>
        <w:t xml:space="preserve"> that is </w:t>
      </w:r>
      <w:r>
        <w:rPr>
          <w:sz w:val="24"/>
          <w:szCs w:val="24"/>
        </w:rPr>
        <w:t xml:space="preserve">annual </w:t>
      </w:r>
      <w:r w:rsidRPr="00E1538B">
        <w:rPr>
          <w:sz w:val="24"/>
          <w:szCs w:val="24"/>
        </w:rPr>
        <w:t>qualified</w:t>
      </w:r>
      <w:r>
        <w:rPr>
          <w:sz w:val="24"/>
          <w:szCs w:val="24"/>
        </w:rPr>
        <w:t xml:space="preserve"> </w:t>
      </w:r>
      <w:r w:rsidRPr="00E1538B">
        <w:rPr>
          <w:sz w:val="24"/>
          <w:szCs w:val="24"/>
        </w:rPr>
        <w:t>dividends</w:t>
      </w:r>
      <w:r>
        <w:rPr>
          <w:sz w:val="24"/>
          <w:szCs w:val="24"/>
        </w:rPr>
        <w:t xml:space="preserve"> and, thus,</w:t>
      </w:r>
      <w:r w:rsidRPr="00E1538B">
        <w:rPr>
          <w:sz w:val="24"/>
          <w:szCs w:val="24"/>
        </w:rPr>
        <w:t xml:space="preserve"> 1 – d </w:t>
      </w:r>
      <w:r>
        <w:rPr>
          <w:sz w:val="24"/>
          <w:szCs w:val="24"/>
        </w:rPr>
        <w:t>is the percentage of R that is appreciation (i.e., unrealized gain) and taxed in year n (i.e., at sale) when stocks are held in a taxable account. All of the other variables are defined at the end of Table 1.</w:t>
      </w:r>
    </w:p>
    <w:p w:rsidR="00751664" w:rsidRPr="00676BFB" w:rsidRDefault="00751664" w:rsidP="00961DD8">
      <w:pPr>
        <w:pStyle w:val="EndnoteText"/>
        <w:spacing w:line="480" w:lineRule="auto"/>
        <w:rPr>
          <w:sz w:val="24"/>
          <w:szCs w:val="24"/>
        </w:rPr>
      </w:pPr>
    </w:p>
  </w:endnote>
  <w:endnote w:id="11">
    <w:p w:rsidR="00751664" w:rsidRDefault="00751664" w:rsidP="0032114B">
      <w:pPr>
        <w:pStyle w:val="EndnoteText"/>
        <w:spacing w:line="480" w:lineRule="auto"/>
        <w:rPr>
          <w:sz w:val="24"/>
          <w:szCs w:val="24"/>
        </w:rPr>
      </w:pPr>
      <w:r w:rsidRPr="0032114B">
        <w:rPr>
          <w:rStyle w:val="EndnoteReference"/>
          <w:sz w:val="24"/>
          <w:szCs w:val="24"/>
        </w:rPr>
        <w:endnoteRef/>
      </w:r>
      <w:r w:rsidRPr="0032114B">
        <w:rPr>
          <w:sz w:val="24"/>
          <w:szCs w:val="24"/>
        </w:rPr>
        <w:t xml:space="preserve"> </w:t>
      </w:r>
      <w:r>
        <w:rPr>
          <w:sz w:val="24"/>
          <w:szCs w:val="24"/>
        </w:rPr>
        <w:t>This hybrid formula is not intuitive, particularly the last part of the formula that is inside the square brackets. The first part of the formula (i.e., AT$(1 + R − Rdg</w:t>
      </w:r>
      <w:proofErr w:type="gramStart"/>
      <w:r>
        <w:rPr>
          <w:sz w:val="24"/>
          <w:szCs w:val="24"/>
        </w:rPr>
        <w:t>)</w:t>
      </w:r>
      <w:r>
        <w:rPr>
          <w:sz w:val="24"/>
          <w:szCs w:val="24"/>
          <w:vertAlign w:val="superscript"/>
        </w:rPr>
        <w:t>n</w:t>
      </w:r>
      <w:proofErr w:type="gramEnd"/>
      <w:r>
        <w:rPr>
          <w:sz w:val="24"/>
          <w:szCs w:val="24"/>
        </w:rPr>
        <w:t>) is the amount that the stock grows to in 20 years after paying annual tax (at a 15% rate) on the dividend (2%). After paying such tax, which is 0.3% (i.e., 15% × 2%) of the 8% return, the annual appreciation is 7.7% for the next 20 years (i.e., $18,750 grows to $82,664) since the after-tax dividends are reinvested in the stock. The next term is the 15% tax rate (</w:t>
      </w:r>
      <w:proofErr w:type="gramStart"/>
      <w:r>
        <w:rPr>
          <w:sz w:val="24"/>
          <w:szCs w:val="24"/>
        </w:rPr>
        <w:t>g</w:t>
      </w:r>
      <w:r>
        <w:rPr>
          <w:sz w:val="24"/>
          <w:szCs w:val="24"/>
          <w:vertAlign w:val="subscript"/>
        </w:rPr>
        <w:t>n</w:t>
      </w:r>
      <w:proofErr w:type="gramEnd"/>
      <w:r>
        <w:rPr>
          <w:sz w:val="24"/>
          <w:szCs w:val="24"/>
        </w:rPr>
        <w:t>) multiplied by the long-term capital gain. In other words, 15% is followed by the gain, the selling price (i.e., $82,664) minus the tax basis of the stock (i.e., the rest of the formula, beginning with “– AT$”). Such basis begins at $18,750 but then grows by the annual after-tax dividends reinvested in the stock. Over the course of 20 years, the basis goes from $18,750 to $32,861. The long-term capital gain thus is $49,803 (i.e., $82,664 − $32,861) and the tax on it is 15%, which results in $7,471 tax. The selling price of $82,664 minus the tax at sale of $7,471 results in $75,193.</w:t>
      </w:r>
    </w:p>
    <w:p w:rsidR="00751664" w:rsidRPr="0032114B" w:rsidRDefault="00751664" w:rsidP="0032114B">
      <w:pPr>
        <w:pStyle w:val="EndnoteText"/>
        <w:spacing w:line="480" w:lineRule="auto"/>
        <w:rPr>
          <w:sz w:val="24"/>
          <w:szCs w:val="24"/>
        </w:rPr>
      </w:pPr>
    </w:p>
  </w:endnote>
  <w:endnote w:id="12">
    <w:p w:rsidR="00751664" w:rsidRDefault="00751664" w:rsidP="0032114B">
      <w:pPr>
        <w:pStyle w:val="EndnoteText"/>
        <w:spacing w:line="480" w:lineRule="auto"/>
        <w:rPr>
          <w:sz w:val="24"/>
          <w:szCs w:val="24"/>
        </w:rPr>
      </w:pPr>
      <w:r w:rsidRPr="0032114B">
        <w:rPr>
          <w:rStyle w:val="EndnoteReference"/>
          <w:sz w:val="24"/>
          <w:szCs w:val="24"/>
        </w:rPr>
        <w:endnoteRef/>
      </w:r>
      <w:r w:rsidRPr="0032114B">
        <w:rPr>
          <w:sz w:val="24"/>
          <w:szCs w:val="24"/>
        </w:rPr>
        <w:t xml:space="preserve"> </w:t>
      </w:r>
      <w:r>
        <w:rPr>
          <w:sz w:val="24"/>
          <w:szCs w:val="24"/>
        </w:rPr>
        <w:t>Granted, the Stocks In – Bonds Out strategy might not enhance wealth if the actual returns on stocks are relatively low and/or the actual returns on bonds are relatively high.</w:t>
      </w:r>
    </w:p>
    <w:p w:rsidR="00751664" w:rsidRPr="0032114B" w:rsidRDefault="00751664" w:rsidP="0032114B">
      <w:pPr>
        <w:pStyle w:val="EndnoteText"/>
        <w:spacing w:line="480" w:lineRule="auto"/>
        <w:rPr>
          <w:sz w:val="24"/>
          <w:szCs w:val="24"/>
        </w:rPr>
      </w:pPr>
    </w:p>
  </w:endnote>
  <w:endnote w:id="13">
    <w:p w:rsidR="00751664" w:rsidRDefault="00751664" w:rsidP="00961DD8">
      <w:pPr>
        <w:pStyle w:val="EndnoteText"/>
        <w:spacing w:line="480" w:lineRule="auto"/>
        <w:rPr>
          <w:sz w:val="24"/>
          <w:szCs w:val="24"/>
        </w:rPr>
      </w:pPr>
      <w:r w:rsidRPr="00AB1C2B">
        <w:rPr>
          <w:rStyle w:val="EndnoteReference"/>
          <w:sz w:val="24"/>
          <w:szCs w:val="24"/>
        </w:rPr>
        <w:endnoteRef/>
      </w:r>
      <w:r w:rsidRPr="00AB1C2B">
        <w:rPr>
          <w:sz w:val="24"/>
          <w:szCs w:val="24"/>
        </w:rPr>
        <w:t xml:space="preserve"> </w:t>
      </w:r>
      <w:r>
        <w:rPr>
          <w:sz w:val="24"/>
          <w:szCs w:val="24"/>
        </w:rPr>
        <w:t>If instead of one-quarter of the 8% return on stocks being dividends it is assumed that either one-half is dividends or none is dividends, then in the former case, there is a greater disadvantage to stocks being held outside retirement accounts. Specifically, Stocks In – Bonds Out is still $121,258 but Bonds In – Stocks Out is less (i.e., $114,443) since the higher rate of dividends causes more income to be taxed annually. Stocks In – Bonds Out, thus, is almost 6.0% higher. In the latter case, there is less of a disadvantage to stocks being held outside retirement accounts because there is no annual taxation. Instead, the entire return is taxed at the end of the investment horizon (i.e., n = 20 years) at the lower than ordinary tax rate (i.e., g = 15%). Specifically, Stocks In – Bonds Out is still $121,258 but Bonds In – Stocks Out is more (i.e., $118,180). Stocks In – Bonds Out, thus, is only 2.6% higher. In conclusion, Stocks In – Bonds Out is the wealth-maximizing strategy given the return on stocks is 8% and the return on taxable bonds is 4%, regardless of the dividend yield on the stocks being between 0% and a very high yield (one-half of 8%).</w:t>
      </w:r>
    </w:p>
    <w:p w:rsidR="00751664" w:rsidRPr="00AB1C2B" w:rsidRDefault="00751664" w:rsidP="00961DD8">
      <w:pPr>
        <w:pStyle w:val="EndnoteText"/>
        <w:spacing w:line="480" w:lineRule="auto"/>
        <w:rPr>
          <w:sz w:val="24"/>
          <w:szCs w:val="24"/>
        </w:rPr>
      </w:pPr>
    </w:p>
  </w:endnote>
  <w:endnote w:id="14">
    <w:p w:rsidR="00751664" w:rsidRDefault="00751664" w:rsidP="00961DD8">
      <w:pPr>
        <w:pStyle w:val="EndnoteText"/>
        <w:spacing w:line="480" w:lineRule="auto"/>
        <w:rPr>
          <w:sz w:val="24"/>
          <w:szCs w:val="24"/>
        </w:rPr>
      </w:pPr>
      <w:r w:rsidRPr="0047675B">
        <w:rPr>
          <w:rStyle w:val="EndnoteReference"/>
          <w:sz w:val="24"/>
          <w:szCs w:val="24"/>
        </w:rPr>
        <w:endnoteRef/>
      </w:r>
      <w:r w:rsidRPr="0047675B">
        <w:rPr>
          <w:sz w:val="24"/>
          <w:szCs w:val="24"/>
        </w:rPr>
        <w:t xml:space="preserve"> </w:t>
      </w:r>
      <w:r>
        <w:rPr>
          <w:sz w:val="24"/>
          <w:szCs w:val="24"/>
        </w:rPr>
        <w:t xml:space="preserve">A discussion about the differences between t versus </w:t>
      </w:r>
      <w:proofErr w:type="gramStart"/>
      <w:r>
        <w:rPr>
          <w:sz w:val="24"/>
          <w:szCs w:val="24"/>
        </w:rPr>
        <w:t>t</w:t>
      </w:r>
      <w:r>
        <w:rPr>
          <w:sz w:val="24"/>
          <w:szCs w:val="24"/>
          <w:vertAlign w:val="subscript"/>
        </w:rPr>
        <w:t>n</w:t>
      </w:r>
      <w:proofErr w:type="gramEnd"/>
      <w:r>
        <w:rPr>
          <w:sz w:val="24"/>
          <w:szCs w:val="24"/>
          <w:vertAlign w:val="subscript"/>
        </w:rPr>
        <w:t xml:space="preserve"> </w:t>
      </w:r>
      <w:r>
        <w:rPr>
          <w:sz w:val="24"/>
          <w:szCs w:val="24"/>
        </w:rPr>
        <w:t>and g versus g</w:t>
      </w:r>
      <w:r>
        <w:rPr>
          <w:sz w:val="24"/>
          <w:szCs w:val="24"/>
          <w:vertAlign w:val="subscript"/>
        </w:rPr>
        <w:t>n</w:t>
      </w:r>
      <w:r>
        <w:rPr>
          <w:sz w:val="24"/>
          <w:szCs w:val="24"/>
        </w:rPr>
        <w:t xml:space="preserve"> is necessary. For simplicity (i.e., to avoid modifying the formulas in Figure 1), n is assumed to be the day after the number of years ends. For instance, t = 25% for the entire 20 years when ordinary income is taxed and g = 15% for the entire 20 years when qualified dividend income is taxed and the taxation occurs on the last day of the year (i.e., December 31). However, it is assumed that the distribution or sale occurs on the first day of year 21 (i.e., January 1) and the rates on ordinary income (</w:t>
      </w:r>
      <w:proofErr w:type="gramStart"/>
      <w:r>
        <w:rPr>
          <w:sz w:val="24"/>
          <w:szCs w:val="24"/>
        </w:rPr>
        <w:t>t</w:t>
      </w:r>
      <w:r>
        <w:rPr>
          <w:sz w:val="24"/>
          <w:szCs w:val="24"/>
          <w:vertAlign w:val="subscript"/>
        </w:rPr>
        <w:t>n</w:t>
      </w:r>
      <w:proofErr w:type="gramEnd"/>
      <w:r>
        <w:rPr>
          <w:sz w:val="24"/>
          <w:szCs w:val="24"/>
        </w:rPr>
        <w:t xml:space="preserve"> = 35%) and long-term capital gain income (g</w:t>
      </w:r>
      <w:r>
        <w:rPr>
          <w:sz w:val="24"/>
          <w:szCs w:val="24"/>
          <w:vertAlign w:val="subscript"/>
        </w:rPr>
        <w:t>n</w:t>
      </w:r>
      <w:r>
        <w:rPr>
          <w:sz w:val="24"/>
          <w:szCs w:val="24"/>
        </w:rPr>
        <w:t xml:space="preserve"> = 18.8%) are higher. The effect is that in the 20</w:t>
      </w:r>
      <w:r w:rsidRPr="009F401E">
        <w:rPr>
          <w:sz w:val="24"/>
          <w:szCs w:val="24"/>
        </w:rPr>
        <w:t>th</w:t>
      </w:r>
      <w:r>
        <w:rPr>
          <w:sz w:val="24"/>
          <w:szCs w:val="24"/>
        </w:rPr>
        <w:t xml:space="preserve"> year the same tax rate applies that has applied for the previous 19 years on the year’s income but the sale of the stock mutual fund held in the taxable account or distribution from the 401(k) occurs when the tax rate is significantly higher. For simplicity, the tax payment on the first day of year 21 is assumed to occur immediately and the difference in present value from the last day of year 20 to the first day of year 21 is ignored.</w:t>
      </w:r>
    </w:p>
    <w:p w:rsidR="00751664" w:rsidRPr="00917CC1" w:rsidRDefault="00751664" w:rsidP="00961DD8">
      <w:pPr>
        <w:pStyle w:val="EndnoteText"/>
        <w:spacing w:line="480" w:lineRule="auto"/>
        <w:rPr>
          <w:sz w:val="24"/>
          <w:szCs w:val="24"/>
        </w:rPr>
      </w:pPr>
      <w:r>
        <w:rPr>
          <w:sz w:val="24"/>
          <w:szCs w:val="24"/>
        </w:rPr>
        <w:t xml:space="preserve"> </w:t>
      </w:r>
    </w:p>
  </w:endnote>
  <w:endnote w:id="15">
    <w:p w:rsidR="00751664" w:rsidRDefault="00751664" w:rsidP="0032114B">
      <w:pPr>
        <w:pStyle w:val="EndnoteText"/>
        <w:spacing w:line="480" w:lineRule="auto"/>
        <w:rPr>
          <w:sz w:val="24"/>
          <w:szCs w:val="24"/>
        </w:rPr>
      </w:pPr>
      <w:r w:rsidRPr="0032114B">
        <w:rPr>
          <w:rStyle w:val="EndnoteReference"/>
          <w:sz w:val="24"/>
          <w:szCs w:val="24"/>
        </w:rPr>
        <w:endnoteRef/>
      </w:r>
      <w:r w:rsidRPr="0032114B">
        <w:rPr>
          <w:sz w:val="24"/>
          <w:szCs w:val="24"/>
        </w:rPr>
        <w:t xml:space="preserve"> </w:t>
      </w:r>
      <w:r>
        <w:rPr>
          <w:sz w:val="24"/>
          <w:szCs w:val="24"/>
        </w:rPr>
        <w:t xml:space="preserve">Since </w:t>
      </w:r>
      <w:proofErr w:type="gramStart"/>
      <w:r w:rsidRPr="00F90794">
        <w:rPr>
          <w:sz w:val="24"/>
          <w:szCs w:val="24"/>
        </w:rPr>
        <w:t>g</w:t>
      </w:r>
      <w:r w:rsidRPr="0032114B">
        <w:rPr>
          <w:sz w:val="24"/>
          <w:szCs w:val="24"/>
          <w:vertAlign w:val="subscript"/>
        </w:rPr>
        <w:t>n</w:t>
      </w:r>
      <w:proofErr w:type="gramEnd"/>
      <w:r w:rsidRPr="00F90794">
        <w:rPr>
          <w:sz w:val="24"/>
          <w:szCs w:val="24"/>
        </w:rPr>
        <w:t xml:space="preserve"> = 0%</w:t>
      </w:r>
      <w:r>
        <w:rPr>
          <w:sz w:val="24"/>
          <w:szCs w:val="24"/>
        </w:rPr>
        <w:t>, the latter term in this hybrid model drops out (i.e., subtract $0 long-term capital gains tax).</w:t>
      </w:r>
    </w:p>
    <w:p w:rsidR="00751664" w:rsidRPr="0032114B" w:rsidRDefault="00751664" w:rsidP="0032114B">
      <w:pPr>
        <w:pStyle w:val="EndnoteText"/>
        <w:spacing w:line="480" w:lineRule="auto"/>
        <w:rPr>
          <w:sz w:val="24"/>
          <w:szCs w:val="24"/>
        </w:rPr>
      </w:pPr>
    </w:p>
  </w:endnote>
  <w:endnote w:id="16">
    <w:p w:rsidR="00751664" w:rsidRDefault="00751664" w:rsidP="00961DD8">
      <w:pPr>
        <w:pStyle w:val="EndnoteText"/>
        <w:spacing w:line="480" w:lineRule="auto"/>
        <w:rPr>
          <w:sz w:val="24"/>
          <w:szCs w:val="24"/>
        </w:rPr>
      </w:pPr>
      <w:r w:rsidRPr="00DB4D72">
        <w:rPr>
          <w:rStyle w:val="EndnoteReference"/>
          <w:sz w:val="24"/>
          <w:szCs w:val="24"/>
        </w:rPr>
        <w:endnoteRef/>
      </w:r>
      <w:r w:rsidRPr="00DB4D72">
        <w:rPr>
          <w:sz w:val="24"/>
          <w:szCs w:val="24"/>
        </w:rPr>
        <w:t xml:space="preserve"> </w:t>
      </w:r>
      <w:r>
        <w:rPr>
          <w:sz w:val="24"/>
          <w:szCs w:val="24"/>
        </w:rPr>
        <w:t>The reason the $25,000 invested inside the Roth retirement account is not put entirely in stocks is to make the comparison with scenario 1 fair, since stocks have an 8% return while bonds have only a 4% return. In scenario 1, $18,750 after tax is put into the tax-deferred retirement account and invested in stocks and $18,750 after tax is put into the taxable account and invested in bonds. In scenario 3, $18,750 after tax is also put into the Roth retirement account and invested in stocks.</w:t>
      </w:r>
    </w:p>
    <w:p w:rsidR="00751664" w:rsidRPr="00DB4D72" w:rsidRDefault="00751664" w:rsidP="00961DD8">
      <w:pPr>
        <w:pStyle w:val="EndnoteText"/>
        <w:spacing w:line="480" w:lineRule="auto"/>
        <w:rPr>
          <w:sz w:val="24"/>
          <w:szCs w:val="24"/>
        </w:rPr>
      </w:pPr>
    </w:p>
  </w:endnote>
  <w:endnote w:id="17">
    <w:p w:rsidR="00751664" w:rsidRPr="00C24C80" w:rsidRDefault="00751664" w:rsidP="00961DD8">
      <w:pPr>
        <w:pStyle w:val="EndnoteText"/>
        <w:spacing w:line="480" w:lineRule="auto"/>
        <w:rPr>
          <w:sz w:val="24"/>
          <w:szCs w:val="24"/>
        </w:rPr>
      </w:pPr>
      <w:r w:rsidRPr="00C24C80">
        <w:rPr>
          <w:rStyle w:val="EndnoteReference"/>
          <w:sz w:val="24"/>
          <w:szCs w:val="24"/>
        </w:rPr>
        <w:endnoteRef/>
      </w:r>
      <w:r w:rsidRPr="00C24C80">
        <w:rPr>
          <w:sz w:val="24"/>
          <w:szCs w:val="24"/>
        </w:rPr>
        <w:t xml:space="preserve"> The 35% tax rate bracket is ignored for brevity and because very few taxpayers are in that bracket</w:t>
      </w:r>
      <w:r>
        <w:rPr>
          <w:sz w:val="24"/>
          <w:szCs w:val="24"/>
        </w:rPr>
        <w:t>,</w:t>
      </w:r>
      <w:r w:rsidRPr="00C24C80">
        <w:rPr>
          <w:sz w:val="24"/>
          <w:szCs w:val="24"/>
        </w:rPr>
        <w:t xml:space="preserve"> since its range of</w:t>
      </w:r>
      <w:r>
        <w:rPr>
          <w:sz w:val="24"/>
          <w:szCs w:val="24"/>
        </w:rPr>
        <w:t xml:space="preserve"> taxable income is narrow. For example, for an individual with a single filing status in 2016, the 35% tax rate bracket is especially narrow, as it applies only to taxable income between $413,350 and $415,050.</w:t>
      </w:r>
    </w:p>
  </w:endnote>
  <w:endnote w:id="18">
    <w:p w:rsidR="00751664" w:rsidRDefault="00751664" w:rsidP="00961DD8">
      <w:pPr>
        <w:pStyle w:val="EndnoteText"/>
        <w:spacing w:line="480" w:lineRule="auto"/>
        <w:rPr>
          <w:sz w:val="24"/>
          <w:szCs w:val="24"/>
        </w:rPr>
      </w:pPr>
    </w:p>
    <w:p w:rsidR="00751664" w:rsidRDefault="00751664" w:rsidP="00961DD8">
      <w:pPr>
        <w:pStyle w:val="EndnoteText"/>
        <w:spacing w:line="480" w:lineRule="auto"/>
        <w:rPr>
          <w:sz w:val="24"/>
          <w:szCs w:val="24"/>
        </w:rPr>
      </w:pPr>
      <w:r w:rsidRPr="00FC58D4">
        <w:rPr>
          <w:rStyle w:val="EndnoteReference"/>
          <w:sz w:val="24"/>
          <w:szCs w:val="24"/>
        </w:rPr>
        <w:endnoteRef/>
      </w:r>
      <w:r w:rsidRPr="00FC58D4">
        <w:rPr>
          <w:sz w:val="24"/>
          <w:szCs w:val="24"/>
        </w:rPr>
        <w:t xml:space="preserve"> </w:t>
      </w:r>
      <w:r>
        <w:rPr>
          <w:sz w:val="24"/>
          <w:szCs w:val="24"/>
        </w:rPr>
        <w:t xml:space="preserve">The 3.8% Medicare surtax on investment income applies to </w:t>
      </w:r>
      <w:r w:rsidRPr="00FC58D4">
        <w:rPr>
          <w:i/>
          <w:sz w:val="24"/>
          <w:szCs w:val="24"/>
        </w:rPr>
        <w:t>almost</w:t>
      </w:r>
      <w:r>
        <w:rPr>
          <w:sz w:val="24"/>
          <w:szCs w:val="24"/>
        </w:rPr>
        <w:t xml:space="preserve"> all income taxpayers in the 33% ordinary income tax rate bracket.</w:t>
      </w:r>
    </w:p>
    <w:p w:rsidR="00751664" w:rsidRPr="00FC58D4" w:rsidRDefault="00751664" w:rsidP="00961DD8">
      <w:pPr>
        <w:pStyle w:val="EndnoteText"/>
        <w:spacing w:line="480" w:lineRule="auto"/>
        <w:rPr>
          <w:sz w:val="24"/>
          <w:szCs w:val="24"/>
        </w:rPr>
      </w:pPr>
    </w:p>
  </w:endnote>
  <w:endnote w:id="19">
    <w:p w:rsidR="00751664" w:rsidRDefault="00751664" w:rsidP="00961DD8">
      <w:pPr>
        <w:pStyle w:val="EndnoteText"/>
        <w:spacing w:line="480" w:lineRule="auto"/>
        <w:rPr>
          <w:sz w:val="24"/>
          <w:szCs w:val="24"/>
        </w:rPr>
      </w:pPr>
      <w:r w:rsidRPr="00FE09F0">
        <w:rPr>
          <w:rStyle w:val="EndnoteReference"/>
          <w:sz w:val="24"/>
          <w:szCs w:val="24"/>
        </w:rPr>
        <w:endnoteRef/>
      </w:r>
      <w:r w:rsidRPr="00FE09F0">
        <w:rPr>
          <w:sz w:val="24"/>
          <w:szCs w:val="24"/>
        </w:rPr>
        <w:t xml:space="preserve"> </w:t>
      </w:r>
      <w:r>
        <w:rPr>
          <w:sz w:val="24"/>
          <w:szCs w:val="24"/>
        </w:rPr>
        <w:t xml:space="preserve">The break-even line is based on the following formula from appendix 2 of Anderson and Murphy (2014): </w:t>
      </w:r>
    </w:p>
    <w:p w:rsidR="00751664" w:rsidRPr="00E22066" w:rsidRDefault="00751664" w:rsidP="00961DD8">
      <w:pPr>
        <w:pStyle w:val="EndnoteText"/>
        <w:spacing w:line="480" w:lineRule="auto"/>
        <w:jc w:val="center"/>
        <w:rPr>
          <w:sz w:val="24"/>
          <w:szCs w:val="24"/>
        </w:rPr>
      </w:pPr>
      <w:r>
        <w:rPr>
          <w:sz w:val="24"/>
          <w:szCs w:val="24"/>
        </w:rPr>
        <w:t>R</w:t>
      </w:r>
      <w:r>
        <w:rPr>
          <w:sz w:val="24"/>
          <w:szCs w:val="24"/>
          <w:vertAlign w:val="subscript"/>
        </w:rPr>
        <w:t>S</w:t>
      </w:r>
      <w:r>
        <w:rPr>
          <w:sz w:val="24"/>
          <w:szCs w:val="24"/>
        </w:rPr>
        <w:t xml:space="preserve"> = [[(1 + R</w:t>
      </w:r>
      <w:r>
        <w:rPr>
          <w:sz w:val="24"/>
          <w:szCs w:val="24"/>
          <w:vertAlign w:val="subscript"/>
        </w:rPr>
        <w:t>B</w:t>
      </w:r>
      <w:r>
        <w:rPr>
          <w:sz w:val="24"/>
          <w:szCs w:val="24"/>
        </w:rPr>
        <w:t>)</w:t>
      </w:r>
      <w:r>
        <w:rPr>
          <w:sz w:val="24"/>
          <w:szCs w:val="24"/>
          <w:vertAlign w:val="superscript"/>
        </w:rPr>
        <w:t>n</w:t>
      </w:r>
      <w:r>
        <w:rPr>
          <w:sz w:val="24"/>
          <w:szCs w:val="24"/>
        </w:rPr>
        <w:t xml:space="preserve"> – [1 +</w:t>
      </w:r>
      <w:r w:rsidRPr="002731C0">
        <w:rPr>
          <w:sz w:val="24"/>
          <w:szCs w:val="24"/>
        </w:rPr>
        <w:t xml:space="preserve"> </w:t>
      </w:r>
      <w:r>
        <w:rPr>
          <w:sz w:val="24"/>
          <w:szCs w:val="24"/>
        </w:rPr>
        <w:t>R</w:t>
      </w:r>
      <w:r>
        <w:rPr>
          <w:sz w:val="24"/>
          <w:szCs w:val="24"/>
          <w:vertAlign w:val="subscript"/>
        </w:rPr>
        <w:t>B</w:t>
      </w:r>
      <w:r>
        <w:rPr>
          <w:sz w:val="24"/>
          <w:szCs w:val="24"/>
        </w:rPr>
        <w:t>(1 − t)]</w:t>
      </w:r>
      <w:r>
        <w:rPr>
          <w:sz w:val="24"/>
          <w:szCs w:val="24"/>
          <w:vertAlign w:val="superscript"/>
        </w:rPr>
        <w:t>n</w:t>
      </w:r>
      <w:r>
        <w:rPr>
          <w:sz w:val="24"/>
          <w:szCs w:val="24"/>
        </w:rPr>
        <w:t xml:space="preserve"> + g] / g]</w:t>
      </w:r>
      <w:r>
        <w:rPr>
          <w:sz w:val="24"/>
          <w:szCs w:val="24"/>
          <w:vertAlign w:val="superscript"/>
        </w:rPr>
        <w:t>1/n</w:t>
      </w:r>
      <w:r>
        <w:rPr>
          <w:sz w:val="24"/>
          <w:szCs w:val="24"/>
        </w:rPr>
        <w:t xml:space="preserve"> − 1</w:t>
      </w:r>
    </w:p>
  </w:endnote>
  <w:endnote w:id="20">
    <w:p w:rsidR="00751664" w:rsidRDefault="00751664" w:rsidP="00961DD8">
      <w:pPr>
        <w:pStyle w:val="EndnoteText"/>
        <w:spacing w:line="480" w:lineRule="auto"/>
        <w:rPr>
          <w:sz w:val="24"/>
          <w:szCs w:val="24"/>
        </w:rPr>
      </w:pPr>
    </w:p>
    <w:p w:rsidR="00751664" w:rsidRPr="00827640" w:rsidRDefault="00751664" w:rsidP="00961DD8">
      <w:pPr>
        <w:pStyle w:val="EndnoteText"/>
        <w:spacing w:line="480" w:lineRule="auto"/>
        <w:rPr>
          <w:sz w:val="24"/>
          <w:szCs w:val="24"/>
        </w:rPr>
      </w:pPr>
      <w:r w:rsidRPr="00827640">
        <w:rPr>
          <w:rStyle w:val="EndnoteReference"/>
          <w:sz w:val="24"/>
          <w:szCs w:val="24"/>
        </w:rPr>
        <w:endnoteRef/>
      </w:r>
      <w:r w:rsidRPr="00827640">
        <w:rPr>
          <w:sz w:val="24"/>
          <w:szCs w:val="24"/>
        </w:rPr>
        <w:t xml:space="preserve"> </w:t>
      </w:r>
      <w:r>
        <w:rPr>
          <w:sz w:val="24"/>
          <w:szCs w:val="24"/>
        </w:rPr>
        <w:t>The 3.8% Medicare surtax on investment income applies to all individual taxpayers in the 39.6% ordinary income tax rate bracket.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558099"/>
      <w:docPartObj>
        <w:docPartGallery w:val="Page Numbers (Bottom of Page)"/>
        <w:docPartUnique/>
      </w:docPartObj>
    </w:sdtPr>
    <w:sdtEndPr>
      <w:rPr>
        <w:noProof/>
      </w:rPr>
    </w:sdtEndPr>
    <w:sdtContent>
      <w:p w:rsidR="00751664" w:rsidRDefault="00751664">
        <w:pPr>
          <w:pStyle w:val="Footer"/>
          <w:jc w:val="center"/>
        </w:pPr>
        <w:r>
          <w:fldChar w:fldCharType="begin"/>
        </w:r>
        <w:r>
          <w:instrText xml:space="preserve"> PAGE   \* MERGEFORMAT </w:instrText>
        </w:r>
        <w:r>
          <w:fldChar w:fldCharType="separate"/>
        </w:r>
        <w:r w:rsidR="00BC26CD">
          <w:rPr>
            <w:noProof/>
          </w:rPr>
          <w:t>36</w:t>
        </w:r>
        <w:r>
          <w:rPr>
            <w:noProof/>
          </w:rPr>
          <w:fldChar w:fldCharType="end"/>
        </w:r>
      </w:p>
    </w:sdtContent>
  </w:sdt>
  <w:p w:rsidR="00751664" w:rsidRDefault="00751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64" w:rsidRDefault="00751664" w:rsidP="00BA53FD">
      <w:r>
        <w:separator/>
      </w:r>
    </w:p>
  </w:footnote>
  <w:footnote w:type="continuationSeparator" w:id="0">
    <w:p w:rsidR="00751664" w:rsidRDefault="00751664" w:rsidP="00BA5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60B"/>
    <w:multiLevelType w:val="hybridMultilevel"/>
    <w:tmpl w:val="3D92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728D7"/>
    <w:multiLevelType w:val="hybridMultilevel"/>
    <w:tmpl w:val="014A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85"/>
    <w:rsid w:val="00000C27"/>
    <w:rsid w:val="00001110"/>
    <w:rsid w:val="00007B18"/>
    <w:rsid w:val="00013D9D"/>
    <w:rsid w:val="00014E03"/>
    <w:rsid w:val="000170CE"/>
    <w:rsid w:val="00021D36"/>
    <w:rsid w:val="00024B69"/>
    <w:rsid w:val="00032AD1"/>
    <w:rsid w:val="00045225"/>
    <w:rsid w:val="00051867"/>
    <w:rsid w:val="00051A88"/>
    <w:rsid w:val="0005211D"/>
    <w:rsid w:val="00054D4D"/>
    <w:rsid w:val="000658FB"/>
    <w:rsid w:val="00067061"/>
    <w:rsid w:val="00074495"/>
    <w:rsid w:val="000818CC"/>
    <w:rsid w:val="0008259D"/>
    <w:rsid w:val="00096B0E"/>
    <w:rsid w:val="000A7170"/>
    <w:rsid w:val="000B79CE"/>
    <w:rsid w:val="000C1AF6"/>
    <w:rsid w:val="000C2054"/>
    <w:rsid w:val="000C3482"/>
    <w:rsid w:val="000C5AB4"/>
    <w:rsid w:val="000D06B4"/>
    <w:rsid w:val="000D2341"/>
    <w:rsid w:val="000D594C"/>
    <w:rsid w:val="000D7523"/>
    <w:rsid w:val="000E1CED"/>
    <w:rsid w:val="000E32E2"/>
    <w:rsid w:val="000E6C75"/>
    <w:rsid w:val="000F2032"/>
    <w:rsid w:val="000F26BD"/>
    <w:rsid w:val="000F3102"/>
    <w:rsid w:val="000F742D"/>
    <w:rsid w:val="000F7EFE"/>
    <w:rsid w:val="00100E06"/>
    <w:rsid w:val="00102B94"/>
    <w:rsid w:val="00105352"/>
    <w:rsid w:val="00110B63"/>
    <w:rsid w:val="0011340A"/>
    <w:rsid w:val="00115FC8"/>
    <w:rsid w:val="001201B8"/>
    <w:rsid w:val="00127CE4"/>
    <w:rsid w:val="00137C81"/>
    <w:rsid w:val="00141D0E"/>
    <w:rsid w:val="001519E7"/>
    <w:rsid w:val="00155AAF"/>
    <w:rsid w:val="00156F42"/>
    <w:rsid w:val="001641F5"/>
    <w:rsid w:val="00166F0F"/>
    <w:rsid w:val="00174D4E"/>
    <w:rsid w:val="00176432"/>
    <w:rsid w:val="001823E4"/>
    <w:rsid w:val="00182DE5"/>
    <w:rsid w:val="00184210"/>
    <w:rsid w:val="00186A92"/>
    <w:rsid w:val="00187B87"/>
    <w:rsid w:val="0019237F"/>
    <w:rsid w:val="00192E8E"/>
    <w:rsid w:val="00196513"/>
    <w:rsid w:val="00196E32"/>
    <w:rsid w:val="001A142D"/>
    <w:rsid w:val="001A2D59"/>
    <w:rsid w:val="001A5A3D"/>
    <w:rsid w:val="001B6682"/>
    <w:rsid w:val="001C1ABD"/>
    <w:rsid w:val="001D0D39"/>
    <w:rsid w:val="001D4454"/>
    <w:rsid w:val="001D524C"/>
    <w:rsid w:val="001E304F"/>
    <w:rsid w:val="001F1603"/>
    <w:rsid w:val="00203A17"/>
    <w:rsid w:val="00207A90"/>
    <w:rsid w:val="00210681"/>
    <w:rsid w:val="00212149"/>
    <w:rsid w:val="00214E27"/>
    <w:rsid w:val="002202B9"/>
    <w:rsid w:val="00242DE4"/>
    <w:rsid w:val="00243946"/>
    <w:rsid w:val="00245BBF"/>
    <w:rsid w:val="0025111E"/>
    <w:rsid w:val="0025369F"/>
    <w:rsid w:val="0025373F"/>
    <w:rsid w:val="00266234"/>
    <w:rsid w:val="002709EA"/>
    <w:rsid w:val="0027184B"/>
    <w:rsid w:val="002731C0"/>
    <w:rsid w:val="00275D6A"/>
    <w:rsid w:val="00280464"/>
    <w:rsid w:val="002856EE"/>
    <w:rsid w:val="00294584"/>
    <w:rsid w:val="002A2CEA"/>
    <w:rsid w:val="002B124A"/>
    <w:rsid w:val="002B648A"/>
    <w:rsid w:val="002C3F24"/>
    <w:rsid w:val="002C65CA"/>
    <w:rsid w:val="002D148E"/>
    <w:rsid w:val="002D4351"/>
    <w:rsid w:val="002D49FC"/>
    <w:rsid w:val="002E44FB"/>
    <w:rsid w:val="002E725E"/>
    <w:rsid w:val="002F2ED3"/>
    <w:rsid w:val="00300477"/>
    <w:rsid w:val="00305714"/>
    <w:rsid w:val="003172F0"/>
    <w:rsid w:val="0032114B"/>
    <w:rsid w:val="00321AC1"/>
    <w:rsid w:val="00324584"/>
    <w:rsid w:val="0033374B"/>
    <w:rsid w:val="00336823"/>
    <w:rsid w:val="0033716C"/>
    <w:rsid w:val="0034432B"/>
    <w:rsid w:val="0035020E"/>
    <w:rsid w:val="0035538F"/>
    <w:rsid w:val="003615C8"/>
    <w:rsid w:val="00361A23"/>
    <w:rsid w:val="003624A0"/>
    <w:rsid w:val="00372422"/>
    <w:rsid w:val="00373B1F"/>
    <w:rsid w:val="0037497B"/>
    <w:rsid w:val="00375510"/>
    <w:rsid w:val="00377202"/>
    <w:rsid w:val="003851BA"/>
    <w:rsid w:val="00390B73"/>
    <w:rsid w:val="003A467C"/>
    <w:rsid w:val="003A7148"/>
    <w:rsid w:val="003B127C"/>
    <w:rsid w:val="003B2FA7"/>
    <w:rsid w:val="003B4DAA"/>
    <w:rsid w:val="003B7A86"/>
    <w:rsid w:val="003C1B9A"/>
    <w:rsid w:val="003D2C80"/>
    <w:rsid w:val="003D6315"/>
    <w:rsid w:val="003E03E9"/>
    <w:rsid w:val="003E4626"/>
    <w:rsid w:val="003F02CF"/>
    <w:rsid w:val="003F03D5"/>
    <w:rsid w:val="00402A6D"/>
    <w:rsid w:val="00402C23"/>
    <w:rsid w:val="00407AC3"/>
    <w:rsid w:val="00416FC1"/>
    <w:rsid w:val="004208AB"/>
    <w:rsid w:val="004221D2"/>
    <w:rsid w:val="00424D71"/>
    <w:rsid w:val="0042653E"/>
    <w:rsid w:val="00432976"/>
    <w:rsid w:val="00437088"/>
    <w:rsid w:val="004422B3"/>
    <w:rsid w:val="00450000"/>
    <w:rsid w:val="00453FC7"/>
    <w:rsid w:val="0045543E"/>
    <w:rsid w:val="00456418"/>
    <w:rsid w:val="0045697D"/>
    <w:rsid w:val="004667D4"/>
    <w:rsid w:val="00466A06"/>
    <w:rsid w:val="00466FD1"/>
    <w:rsid w:val="004743EA"/>
    <w:rsid w:val="0047675B"/>
    <w:rsid w:val="00480AAE"/>
    <w:rsid w:val="004835BF"/>
    <w:rsid w:val="004852A8"/>
    <w:rsid w:val="00493366"/>
    <w:rsid w:val="004952E8"/>
    <w:rsid w:val="004963D9"/>
    <w:rsid w:val="004A6454"/>
    <w:rsid w:val="004B1D39"/>
    <w:rsid w:val="004C28A6"/>
    <w:rsid w:val="004C4C9D"/>
    <w:rsid w:val="004E1B92"/>
    <w:rsid w:val="004E3900"/>
    <w:rsid w:val="004E6B89"/>
    <w:rsid w:val="00502F67"/>
    <w:rsid w:val="005112D1"/>
    <w:rsid w:val="00520616"/>
    <w:rsid w:val="00527AA1"/>
    <w:rsid w:val="00535D72"/>
    <w:rsid w:val="00535E35"/>
    <w:rsid w:val="005400E4"/>
    <w:rsid w:val="0054053D"/>
    <w:rsid w:val="00541199"/>
    <w:rsid w:val="00546327"/>
    <w:rsid w:val="00550249"/>
    <w:rsid w:val="005521B9"/>
    <w:rsid w:val="00553193"/>
    <w:rsid w:val="00564FFC"/>
    <w:rsid w:val="0056598C"/>
    <w:rsid w:val="00566E45"/>
    <w:rsid w:val="005670EC"/>
    <w:rsid w:val="0058077F"/>
    <w:rsid w:val="005832D3"/>
    <w:rsid w:val="00592390"/>
    <w:rsid w:val="00595978"/>
    <w:rsid w:val="005A0C5B"/>
    <w:rsid w:val="005A47E4"/>
    <w:rsid w:val="005A4AA1"/>
    <w:rsid w:val="005B0C28"/>
    <w:rsid w:val="005B2451"/>
    <w:rsid w:val="005C37FF"/>
    <w:rsid w:val="005C67AE"/>
    <w:rsid w:val="005C6C0D"/>
    <w:rsid w:val="005D078F"/>
    <w:rsid w:val="005D13E8"/>
    <w:rsid w:val="005D3263"/>
    <w:rsid w:val="005D444D"/>
    <w:rsid w:val="005D73A2"/>
    <w:rsid w:val="005E0755"/>
    <w:rsid w:val="005E1209"/>
    <w:rsid w:val="005E25DD"/>
    <w:rsid w:val="005E6998"/>
    <w:rsid w:val="005E69CD"/>
    <w:rsid w:val="005E7A7E"/>
    <w:rsid w:val="005F4F3F"/>
    <w:rsid w:val="00611E16"/>
    <w:rsid w:val="00613A48"/>
    <w:rsid w:val="006172DD"/>
    <w:rsid w:val="0062095E"/>
    <w:rsid w:val="00631751"/>
    <w:rsid w:val="00633CEA"/>
    <w:rsid w:val="00633D83"/>
    <w:rsid w:val="00634961"/>
    <w:rsid w:val="00640D17"/>
    <w:rsid w:val="00642208"/>
    <w:rsid w:val="00643451"/>
    <w:rsid w:val="0064564D"/>
    <w:rsid w:val="006468DD"/>
    <w:rsid w:val="00647671"/>
    <w:rsid w:val="0064797E"/>
    <w:rsid w:val="00651E45"/>
    <w:rsid w:val="00655A3D"/>
    <w:rsid w:val="006562E7"/>
    <w:rsid w:val="006577E7"/>
    <w:rsid w:val="006733AF"/>
    <w:rsid w:val="00674650"/>
    <w:rsid w:val="00676BFB"/>
    <w:rsid w:val="00681605"/>
    <w:rsid w:val="006940F6"/>
    <w:rsid w:val="0069655D"/>
    <w:rsid w:val="006A11F1"/>
    <w:rsid w:val="006A4062"/>
    <w:rsid w:val="006A7EA6"/>
    <w:rsid w:val="006B2BD6"/>
    <w:rsid w:val="006B3088"/>
    <w:rsid w:val="006C177D"/>
    <w:rsid w:val="006C33EB"/>
    <w:rsid w:val="006C41A1"/>
    <w:rsid w:val="006C52E7"/>
    <w:rsid w:val="006C5765"/>
    <w:rsid w:val="006C67A1"/>
    <w:rsid w:val="006C68C2"/>
    <w:rsid w:val="006D5EEB"/>
    <w:rsid w:val="006E00B2"/>
    <w:rsid w:val="006E073F"/>
    <w:rsid w:val="006E1555"/>
    <w:rsid w:val="006E21F7"/>
    <w:rsid w:val="006E3E9B"/>
    <w:rsid w:val="006F0612"/>
    <w:rsid w:val="006F5C5C"/>
    <w:rsid w:val="006F7FA1"/>
    <w:rsid w:val="00721BE5"/>
    <w:rsid w:val="00724C23"/>
    <w:rsid w:val="00725885"/>
    <w:rsid w:val="0073604A"/>
    <w:rsid w:val="007438FF"/>
    <w:rsid w:val="00750703"/>
    <w:rsid w:val="00751664"/>
    <w:rsid w:val="00752581"/>
    <w:rsid w:val="00761402"/>
    <w:rsid w:val="00765BAF"/>
    <w:rsid w:val="00767756"/>
    <w:rsid w:val="00767B87"/>
    <w:rsid w:val="00771630"/>
    <w:rsid w:val="00774FA4"/>
    <w:rsid w:val="00781EF2"/>
    <w:rsid w:val="00782218"/>
    <w:rsid w:val="00793221"/>
    <w:rsid w:val="007A679E"/>
    <w:rsid w:val="007B1345"/>
    <w:rsid w:val="007B31C8"/>
    <w:rsid w:val="007B5C41"/>
    <w:rsid w:val="007B6429"/>
    <w:rsid w:val="007C10D3"/>
    <w:rsid w:val="007C4ABF"/>
    <w:rsid w:val="007D31DC"/>
    <w:rsid w:val="007F2947"/>
    <w:rsid w:val="007F4BBD"/>
    <w:rsid w:val="00800729"/>
    <w:rsid w:val="008015D4"/>
    <w:rsid w:val="00802565"/>
    <w:rsid w:val="008041D2"/>
    <w:rsid w:val="008056E3"/>
    <w:rsid w:val="00827640"/>
    <w:rsid w:val="008302A1"/>
    <w:rsid w:val="008313CD"/>
    <w:rsid w:val="0083169F"/>
    <w:rsid w:val="00832A44"/>
    <w:rsid w:val="00841D98"/>
    <w:rsid w:val="00866FE0"/>
    <w:rsid w:val="00880513"/>
    <w:rsid w:val="00880AA1"/>
    <w:rsid w:val="00881908"/>
    <w:rsid w:val="00884FA2"/>
    <w:rsid w:val="00890D89"/>
    <w:rsid w:val="008918F7"/>
    <w:rsid w:val="008A4B6E"/>
    <w:rsid w:val="008B11B0"/>
    <w:rsid w:val="008B3306"/>
    <w:rsid w:val="008B5D2A"/>
    <w:rsid w:val="008D64A0"/>
    <w:rsid w:val="008E2935"/>
    <w:rsid w:val="008E31F0"/>
    <w:rsid w:val="008E4E27"/>
    <w:rsid w:val="008F14E8"/>
    <w:rsid w:val="008F3AE4"/>
    <w:rsid w:val="008F3D89"/>
    <w:rsid w:val="008F3F14"/>
    <w:rsid w:val="00900384"/>
    <w:rsid w:val="009046B1"/>
    <w:rsid w:val="009057A1"/>
    <w:rsid w:val="00914EB7"/>
    <w:rsid w:val="00917CC1"/>
    <w:rsid w:val="009212BC"/>
    <w:rsid w:val="00921BCE"/>
    <w:rsid w:val="00924BCC"/>
    <w:rsid w:val="00932CD9"/>
    <w:rsid w:val="0094231F"/>
    <w:rsid w:val="00944F5F"/>
    <w:rsid w:val="009500FF"/>
    <w:rsid w:val="00951A49"/>
    <w:rsid w:val="00953FBB"/>
    <w:rsid w:val="00961DD8"/>
    <w:rsid w:val="0096242D"/>
    <w:rsid w:val="00966288"/>
    <w:rsid w:val="009671FA"/>
    <w:rsid w:val="00970F5C"/>
    <w:rsid w:val="00983A33"/>
    <w:rsid w:val="00987557"/>
    <w:rsid w:val="00996FBF"/>
    <w:rsid w:val="009B3924"/>
    <w:rsid w:val="009C396C"/>
    <w:rsid w:val="009C458D"/>
    <w:rsid w:val="009D1B5E"/>
    <w:rsid w:val="009D724A"/>
    <w:rsid w:val="009E14B8"/>
    <w:rsid w:val="009E4EF8"/>
    <w:rsid w:val="009E5856"/>
    <w:rsid w:val="009F1D3A"/>
    <w:rsid w:val="009F401E"/>
    <w:rsid w:val="00A03E94"/>
    <w:rsid w:val="00A0705B"/>
    <w:rsid w:val="00A10273"/>
    <w:rsid w:val="00A1062C"/>
    <w:rsid w:val="00A12B27"/>
    <w:rsid w:val="00A15946"/>
    <w:rsid w:val="00A15C5F"/>
    <w:rsid w:val="00A20E3D"/>
    <w:rsid w:val="00A2434F"/>
    <w:rsid w:val="00A304F3"/>
    <w:rsid w:val="00A325D3"/>
    <w:rsid w:val="00A4051F"/>
    <w:rsid w:val="00A40BCA"/>
    <w:rsid w:val="00A43D9A"/>
    <w:rsid w:val="00A517C2"/>
    <w:rsid w:val="00A55817"/>
    <w:rsid w:val="00A61EBC"/>
    <w:rsid w:val="00A6208B"/>
    <w:rsid w:val="00A63DC0"/>
    <w:rsid w:val="00A6521E"/>
    <w:rsid w:val="00A70B56"/>
    <w:rsid w:val="00A726BF"/>
    <w:rsid w:val="00A762EA"/>
    <w:rsid w:val="00A80E0E"/>
    <w:rsid w:val="00A84E33"/>
    <w:rsid w:val="00A9669A"/>
    <w:rsid w:val="00A96B9C"/>
    <w:rsid w:val="00AA2625"/>
    <w:rsid w:val="00AB1C2B"/>
    <w:rsid w:val="00AB5E9F"/>
    <w:rsid w:val="00AC20AB"/>
    <w:rsid w:val="00AE0957"/>
    <w:rsid w:val="00AE2AB2"/>
    <w:rsid w:val="00AE404D"/>
    <w:rsid w:val="00AE69EE"/>
    <w:rsid w:val="00AF15C3"/>
    <w:rsid w:val="00AF243F"/>
    <w:rsid w:val="00AF5DB2"/>
    <w:rsid w:val="00B04DC2"/>
    <w:rsid w:val="00B07069"/>
    <w:rsid w:val="00B131A5"/>
    <w:rsid w:val="00B143A3"/>
    <w:rsid w:val="00B152E5"/>
    <w:rsid w:val="00B23CF2"/>
    <w:rsid w:val="00B24B95"/>
    <w:rsid w:val="00B2709B"/>
    <w:rsid w:val="00B37FB1"/>
    <w:rsid w:val="00B41B48"/>
    <w:rsid w:val="00B427FF"/>
    <w:rsid w:val="00B452E3"/>
    <w:rsid w:val="00B473F6"/>
    <w:rsid w:val="00B47825"/>
    <w:rsid w:val="00B50BFB"/>
    <w:rsid w:val="00B52F5B"/>
    <w:rsid w:val="00B534CA"/>
    <w:rsid w:val="00B538B3"/>
    <w:rsid w:val="00B61985"/>
    <w:rsid w:val="00B63479"/>
    <w:rsid w:val="00B65EE6"/>
    <w:rsid w:val="00B73083"/>
    <w:rsid w:val="00B76F85"/>
    <w:rsid w:val="00B83E83"/>
    <w:rsid w:val="00B84533"/>
    <w:rsid w:val="00B84CFE"/>
    <w:rsid w:val="00B9113D"/>
    <w:rsid w:val="00B92758"/>
    <w:rsid w:val="00B95086"/>
    <w:rsid w:val="00BA141D"/>
    <w:rsid w:val="00BA53FD"/>
    <w:rsid w:val="00BA5637"/>
    <w:rsid w:val="00BA6014"/>
    <w:rsid w:val="00BA63F7"/>
    <w:rsid w:val="00BA69E4"/>
    <w:rsid w:val="00BA6EAA"/>
    <w:rsid w:val="00BB0D99"/>
    <w:rsid w:val="00BB7F98"/>
    <w:rsid w:val="00BC196A"/>
    <w:rsid w:val="00BC26CD"/>
    <w:rsid w:val="00BD5CB8"/>
    <w:rsid w:val="00BD74DE"/>
    <w:rsid w:val="00BD7E00"/>
    <w:rsid w:val="00BE2122"/>
    <w:rsid w:val="00BE2D04"/>
    <w:rsid w:val="00BE3346"/>
    <w:rsid w:val="00BF14E5"/>
    <w:rsid w:val="00BF3313"/>
    <w:rsid w:val="00C050DC"/>
    <w:rsid w:val="00C05539"/>
    <w:rsid w:val="00C12950"/>
    <w:rsid w:val="00C21498"/>
    <w:rsid w:val="00C22071"/>
    <w:rsid w:val="00C22D68"/>
    <w:rsid w:val="00C230C5"/>
    <w:rsid w:val="00C24C80"/>
    <w:rsid w:val="00C27D8B"/>
    <w:rsid w:val="00C40D36"/>
    <w:rsid w:val="00C6486A"/>
    <w:rsid w:val="00C70A09"/>
    <w:rsid w:val="00C7510F"/>
    <w:rsid w:val="00C75E65"/>
    <w:rsid w:val="00C772CF"/>
    <w:rsid w:val="00C77968"/>
    <w:rsid w:val="00C81295"/>
    <w:rsid w:val="00C81E14"/>
    <w:rsid w:val="00C872AC"/>
    <w:rsid w:val="00C87672"/>
    <w:rsid w:val="00C87EFD"/>
    <w:rsid w:val="00C903FC"/>
    <w:rsid w:val="00C90D86"/>
    <w:rsid w:val="00C92F78"/>
    <w:rsid w:val="00CA0489"/>
    <w:rsid w:val="00CA41A9"/>
    <w:rsid w:val="00CA45B9"/>
    <w:rsid w:val="00CA68A9"/>
    <w:rsid w:val="00CB2DD9"/>
    <w:rsid w:val="00CB4E14"/>
    <w:rsid w:val="00CB7FB5"/>
    <w:rsid w:val="00CC5B43"/>
    <w:rsid w:val="00CD02AA"/>
    <w:rsid w:val="00CD4970"/>
    <w:rsid w:val="00CD6AA6"/>
    <w:rsid w:val="00CE71D4"/>
    <w:rsid w:val="00CE790B"/>
    <w:rsid w:val="00CF22AF"/>
    <w:rsid w:val="00CF3A8A"/>
    <w:rsid w:val="00D00CAF"/>
    <w:rsid w:val="00D038E8"/>
    <w:rsid w:val="00D078BD"/>
    <w:rsid w:val="00D11FCD"/>
    <w:rsid w:val="00D14275"/>
    <w:rsid w:val="00D1521E"/>
    <w:rsid w:val="00D24E06"/>
    <w:rsid w:val="00D250F4"/>
    <w:rsid w:val="00D313A4"/>
    <w:rsid w:val="00D31D85"/>
    <w:rsid w:val="00D34E53"/>
    <w:rsid w:val="00D37DCC"/>
    <w:rsid w:val="00D40291"/>
    <w:rsid w:val="00D40A82"/>
    <w:rsid w:val="00D43180"/>
    <w:rsid w:val="00D45CED"/>
    <w:rsid w:val="00D60BCD"/>
    <w:rsid w:val="00D63F9B"/>
    <w:rsid w:val="00D66086"/>
    <w:rsid w:val="00D674F4"/>
    <w:rsid w:val="00D73693"/>
    <w:rsid w:val="00D74876"/>
    <w:rsid w:val="00D74C64"/>
    <w:rsid w:val="00D81D15"/>
    <w:rsid w:val="00D85E86"/>
    <w:rsid w:val="00D92DC2"/>
    <w:rsid w:val="00DA73DE"/>
    <w:rsid w:val="00DB4D72"/>
    <w:rsid w:val="00DB4F3B"/>
    <w:rsid w:val="00DC2D93"/>
    <w:rsid w:val="00DC2F30"/>
    <w:rsid w:val="00DC3EA3"/>
    <w:rsid w:val="00DC4F63"/>
    <w:rsid w:val="00DD6CAF"/>
    <w:rsid w:val="00DE3425"/>
    <w:rsid w:val="00DE4DF6"/>
    <w:rsid w:val="00DF2C8E"/>
    <w:rsid w:val="00DF4489"/>
    <w:rsid w:val="00DF64DC"/>
    <w:rsid w:val="00E01FFD"/>
    <w:rsid w:val="00E02902"/>
    <w:rsid w:val="00E1538B"/>
    <w:rsid w:val="00E22066"/>
    <w:rsid w:val="00E2435C"/>
    <w:rsid w:val="00E251AE"/>
    <w:rsid w:val="00E401C2"/>
    <w:rsid w:val="00E43CCB"/>
    <w:rsid w:val="00E5091C"/>
    <w:rsid w:val="00E51A17"/>
    <w:rsid w:val="00E541D9"/>
    <w:rsid w:val="00E553C3"/>
    <w:rsid w:val="00E57D54"/>
    <w:rsid w:val="00E6321E"/>
    <w:rsid w:val="00E63B30"/>
    <w:rsid w:val="00E7051A"/>
    <w:rsid w:val="00E7794C"/>
    <w:rsid w:val="00E84E35"/>
    <w:rsid w:val="00E86737"/>
    <w:rsid w:val="00E94566"/>
    <w:rsid w:val="00E95146"/>
    <w:rsid w:val="00E9684A"/>
    <w:rsid w:val="00EA1D80"/>
    <w:rsid w:val="00EB0080"/>
    <w:rsid w:val="00EB44C7"/>
    <w:rsid w:val="00EB5884"/>
    <w:rsid w:val="00EB6C7C"/>
    <w:rsid w:val="00EC34F1"/>
    <w:rsid w:val="00EF29B5"/>
    <w:rsid w:val="00EF3F43"/>
    <w:rsid w:val="00EF43AC"/>
    <w:rsid w:val="00EF7864"/>
    <w:rsid w:val="00F0435B"/>
    <w:rsid w:val="00F0570C"/>
    <w:rsid w:val="00F1121A"/>
    <w:rsid w:val="00F135BD"/>
    <w:rsid w:val="00F14CC0"/>
    <w:rsid w:val="00F15412"/>
    <w:rsid w:val="00F17B09"/>
    <w:rsid w:val="00F22E69"/>
    <w:rsid w:val="00F23E84"/>
    <w:rsid w:val="00F31732"/>
    <w:rsid w:val="00F31D99"/>
    <w:rsid w:val="00F32A22"/>
    <w:rsid w:val="00F33A5E"/>
    <w:rsid w:val="00F36BD0"/>
    <w:rsid w:val="00F37708"/>
    <w:rsid w:val="00F41C06"/>
    <w:rsid w:val="00F4204E"/>
    <w:rsid w:val="00F44BA2"/>
    <w:rsid w:val="00F45CFA"/>
    <w:rsid w:val="00F55ACA"/>
    <w:rsid w:val="00F62EC7"/>
    <w:rsid w:val="00F66F89"/>
    <w:rsid w:val="00F67AE3"/>
    <w:rsid w:val="00F72DE3"/>
    <w:rsid w:val="00F8781C"/>
    <w:rsid w:val="00F90794"/>
    <w:rsid w:val="00F90915"/>
    <w:rsid w:val="00F9095A"/>
    <w:rsid w:val="00F91228"/>
    <w:rsid w:val="00F953ED"/>
    <w:rsid w:val="00FA2987"/>
    <w:rsid w:val="00FA7DDB"/>
    <w:rsid w:val="00FB41F7"/>
    <w:rsid w:val="00FB68A0"/>
    <w:rsid w:val="00FC11D2"/>
    <w:rsid w:val="00FC3922"/>
    <w:rsid w:val="00FC58D4"/>
    <w:rsid w:val="00FD4CC4"/>
    <w:rsid w:val="00FE09F0"/>
    <w:rsid w:val="00FE323C"/>
    <w:rsid w:val="00FE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1D85"/>
    <w:pPr>
      <w:keepNext/>
      <w:widowControl w:val="0"/>
      <w:jc w:val="center"/>
      <w:outlineLvl w:val="0"/>
    </w:pPr>
    <w:rPr>
      <w:rFonts w:eastAsia="BatangChe"/>
      <w:b/>
      <w:snapToGrid w:val="0"/>
      <w:szCs w:val="20"/>
      <w:lang w:eastAsia="ko-KR"/>
    </w:rPr>
  </w:style>
  <w:style w:type="paragraph" w:styleId="Heading4">
    <w:name w:val="heading 4"/>
    <w:basedOn w:val="Normal"/>
    <w:next w:val="Normal"/>
    <w:link w:val="Heading4Char"/>
    <w:uiPriority w:val="9"/>
    <w:semiHidden/>
    <w:unhideWhenUsed/>
    <w:qFormat/>
    <w:rsid w:val="00B131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31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31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D85"/>
    <w:rPr>
      <w:rFonts w:ascii="Times New Roman" w:eastAsia="BatangChe" w:hAnsi="Times New Roman" w:cs="Times New Roman"/>
      <w:b/>
      <w:snapToGrid w:val="0"/>
      <w:sz w:val="24"/>
      <w:szCs w:val="20"/>
      <w:lang w:eastAsia="ko-KR"/>
    </w:rPr>
  </w:style>
  <w:style w:type="paragraph" w:styleId="Title">
    <w:name w:val="Title"/>
    <w:basedOn w:val="Normal"/>
    <w:link w:val="TitleChar"/>
    <w:qFormat/>
    <w:rsid w:val="00D31D85"/>
    <w:pPr>
      <w:jc w:val="center"/>
    </w:pPr>
    <w:rPr>
      <w:rFonts w:ascii="Arial" w:hAnsi="Arial"/>
      <w:b/>
      <w:bCs/>
      <w:sz w:val="32"/>
      <w:szCs w:val="20"/>
    </w:rPr>
  </w:style>
  <w:style w:type="character" w:customStyle="1" w:styleId="TitleChar">
    <w:name w:val="Title Char"/>
    <w:basedOn w:val="DefaultParagraphFont"/>
    <w:link w:val="Title"/>
    <w:rsid w:val="00D31D85"/>
    <w:rPr>
      <w:rFonts w:ascii="Arial" w:eastAsia="Times New Roman" w:hAnsi="Arial" w:cs="Times New Roman"/>
      <w:b/>
      <w:bCs/>
      <w:sz w:val="32"/>
      <w:szCs w:val="20"/>
    </w:rPr>
  </w:style>
  <w:style w:type="character" w:customStyle="1" w:styleId="Heading4Char">
    <w:name w:val="Heading 4 Char"/>
    <w:basedOn w:val="DefaultParagraphFont"/>
    <w:link w:val="Heading4"/>
    <w:uiPriority w:val="9"/>
    <w:semiHidden/>
    <w:rsid w:val="00B131A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131A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131A5"/>
    <w:rPr>
      <w:rFonts w:asciiTheme="majorHAnsi" w:eastAsiaTheme="majorEastAsia" w:hAnsiTheme="majorHAnsi" w:cstheme="majorBidi"/>
      <w:i/>
      <w:iCs/>
      <w:color w:val="243F60" w:themeColor="accent1" w:themeShade="7F"/>
      <w:sz w:val="24"/>
      <w:szCs w:val="24"/>
    </w:rPr>
  </w:style>
  <w:style w:type="paragraph" w:styleId="NormalIndent">
    <w:name w:val="Normal Indent"/>
    <w:rsid w:val="00B131A5"/>
    <w:pPr>
      <w:spacing w:after="0" w:line="240" w:lineRule="auto"/>
    </w:pPr>
    <w:rPr>
      <w:rFonts w:ascii="Arial" w:eastAsia="Times New Roman" w:hAnsi="Arial" w:cs="Times New Roman"/>
      <w:sz w:val="24"/>
      <w:szCs w:val="20"/>
    </w:rPr>
  </w:style>
  <w:style w:type="paragraph" w:styleId="Header">
    <w:name w:val="header"/>
    <w:basedOn w:val="Normal"/>
    <w:link w:val="HeaderChar"/>
    <w:rsid w:val="00B131A5"/>
    <w:pPr>
      <w:tabs>
        <w:tab w:val="center" w:pos="4320"/>
        <w:tab w:val="right" w:pos="8640"/>
      </w:tabs>
    </w:pPr>
  </w:style>
  <w:style w:type="character" w:customStyle="1" w:styleId="HeaderChar">
    <w:name w:val="Header Char"/>
    <w:basedOn w:val="DefaultParagraphFont"/>
    <w:link w:val="Header"/>
    <w:rsid w:val="00B131A5"/>
    <w:rPr>
      <w:rFonts w:ascii="Times New Roman" w:eastAsia="Times New Roman" w:hAnsi="Times New Roman" w:cs="Times New Roman"/>
      <w:sz w:val="24"/>
      <w:szCs w:val="24"/>
    </w:rPr>
  </w:style>
  <w:style w:type="paragraph" w:styleId="ListParagraph">
    <w:name w:val="List Paragraph"/>
    <w:basedOn w:val="Normal"/>
    <w:uiPriority w:val="34"/>
    <w:qFormat/>
    <w:rsid w:val="00A61EBC"/>
    <w:pPr>
      <w:ind w:left="720"/>
      <w:contextualSpacing/>
    </w:pPr>
  </w:style>
  <w:style w:type="paragraph" w:styleId="EndnoteText">
    <w:name w:val="endnote text"/>
    <w:basedOn w:val="Normal"/>
    <w:link w:val="EndnoteTextChar"/>
    <w:uiPriority w:val="99"/>
    <w:semiHidden/>
    <w:unhideWhenUsed/>
    <w:rsid w:val="00BA53FD"/>
    <w:rPr>
      <w:sz w:val="20"/>
      <w:szCs w:val="20"/>
    </w:rPr>
  </w:style>
  <w:style w:type="character" w:customStyle="1" w:styleId="EndnoteTextChar">
    <w:name w:val="Endnote Text Char"/>
    <w:basedOn w:val="DefaultParagraphFont"/>
    <w:link w:val="EndnoteText"/>
    <w:uiPriority w:val="99"/>
    <w:semiHidden/>
    <w:rsid w:val="00BA53F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A53FD"/>
    <w:rPr>
      <w:vertAlign w:val="superscript"/>
    </w:rPr>
  </w:style>
  <w:style w:type="table" w:styleId="TableGrid">
    <w:name w:val="Table Grid"/>
    <w:basedOn w:val="TableNormal"/>
    <w:uiPriority w:val="59"/>
    <w:rsid w:val="00F9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BFB"/>
    <w:rPr>
      <w:rFonts w:ascii="Tahoma" w:hAnsi="Tahoma" w:cs="Tahoma"/>
      <w:sz w:val="16"/>
      <w:szCs w:val="16"/>
    </w:rPr>
  </w:style>
  <w:style w:type="character" w:customStyle="1" w:styleId="BalloonTextChar">
    <w:name w:val="Balloon Text Char"/>
    <w:basedOn w:val="DefaultParagraphFont"/>
    <w:link w:val="BalloonText"/>
    <w:uiPriority w:val="99"/>
    <w:semiHidden/>
    <w:rsid w:val="00676BFB"/>
    <w:rPr>
      <w:rFonts w:ascii="Tahoma" w:eastAsia="Times New Roman" w:hAnsi="Tahoma" w:cs="Tahoma"/>
      <w:sz w:val="16"/>
      <w:szCs w:val="16"/>
    </w:rPr>
  </w:style>
  <w:style w:type="character" w:styleId="PlaceholderText">
    <w:name w:val="Placeholder Text"/>
    <w:basedOn w:val="DefaultParagraphFont"/>
    <w:uiPriority w:val="99"/>
    <w:semiHidden/>
    <w:rsid w:val="006C67A1"/>
    <w:rPr>
      <w:color w:val="808080"/>
    </w:rPr>
  </w:style>
  <w:style w:type="character" w:styleId="Hyperlink">
    <w:name w:val="Hyperlink"/>
    <w:basedOn w:val="DefaultParagraphFont"/>
    <w:uiPriority w:val="99"/>
    <w:rsid w:val="00721BE5"/>
    <w:rPr>
      <w:color w:val="0253B7"/>
      <w:u w:val="single"/>
    </w:rPr>
  </w:style>
  <w:style w:type="character" w:styleId="FollowedHyperlink">
    <w:name w:val="FollowedHyperlink"/>
    <w:basedOn w:val="DefaultParagraphFont"/>
    <w:uiPriority w:val="99"/>
    <w:semiHidden/>
    <w:unhideWhenUsed/>
    <w:rsid w:val="006B3088"/>
    <w:rPr>
      <w:color w:val="800080" w:themeColor="followedHyperlink"/>
      <w:u w:val="single"/>
    </w:rPr>
  </w:style>
  <w:style w:type="character" w:styleId="CommentReference">
    <w:name w:val="annotation reference"/>
    <w:basedOn w:val="DefaultParagraphFont"/>
    <w:uiPriority w:val="99"/>
    <w:semiHidden/>
    <w:unhideWhenUsed/>
    <w:rsid w:val="008313CD"/>
    <w:rPr>
      <w:sz w:val="16"/>
      <w:szCs w:val="16"/>
    </w:rPr>
  </w:style>
  <w:style w:type="paragraph" w:styleId="CommentText">
    <w:name w:val="annotation text"/>
    <w:basedOn w:val="Normal"/>
    <w:link w:val="CommentTextChar"/>
    <w:uiPriority w:val="99"/>
    <w:unhideWhenUsed/>
    <w:rsid w:val="008313CD"/>
    <w:rPr>
      <w:sz w:val="20"/>
      <w:szCs w:val="20"/>
    </w:rPr>
  </w:style>
  <w:style w:type="character" w:customStyle="1" w:styleId="CommentTextChar">
    <w:name w:val="Comment Text Char"/>
    <w:basedOn w:val="DefaultParagraphFont"/>
    <w:link w:val="CommentText"/>
    <w:uiPriority w:val="99"/>
    <w:rsid w:val="008313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13CD"/>
    <w:rPr>
      <w:b/>
      <w:bCs/>
    </w:rPr>
  </w:style>
  <w:style w:type="character" w:customStyle="1" w:styleId="CommentSubjectChar">
    <w:name w:val="Comment Subject Char"/>
    <w:basedOn w:val="CommentTextChar"/>
    <w:link w:val="CommentSubject"/>
    <w:uiPriority w:val="99"/>
    <w:semiHidden/>
    <w:rsid w:val="008313C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615C8"/>
    <w:pPr>
      <w:tabs>
        <w:tab w:val="center" w:pos="4680"/>
        <w:tab w:val="right" w:pos="9360"/>
      </w:tabs>
    </w:pPr>
  </w:style>
  <w:style w:type="character" w:customStyle="1" w:styleId="FooterChar">
    <w:name w:val="Footer Char"/>
    <w:basedOn w:val="DefaultParagraphFont"/>
    <w:link w:val="Footer"/>
    <w:uiPriority w:val="99"/>
    <w:rsid w:val="003615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1D85"/>
    <w:pPr>
      <w:keepNext/>
      <w:widowControl w:val="0"/>
      <w:jc w:val="center"/>
      <w:outlineLvl w:val="0"/>
    </w:pPr>
    <w:rPr>
      <w:rFonts w:eastAsia="BatangChe"/>
      <w:b/>
      <w:snapToGrid w:val="0"/>
      <w:szCs w:val="20"/>
      <w:lang w:eastAsia="ko-KR"/>
    </w:rPr>
  </w:style>
  <w:style w:type="paragraph" w:styleId="Heading4">
    <w:name w:val="heading 4"/>
    <w:basedOn w:val="Normal"/>
    <w:next w:val="Normal"/>
    <w:link w:val="Heading4Char"/>
    <w:uiPriority w:val="9"/>
    <w:semiHidden/>
    <w:unhideWhenUsed/>
    <w:qFormat/>
    <w:rsid w:val="00B131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31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31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D85"/>
    <w:rPr>
      <w:rFonts w:ascii="Times New Roman" w:eastAsia="BatangChe" w:hAnsi="Times New Roman" w:cs="Times New Roman"/>
      <w:b/>
      <w:snapToGrid w:val="0"/>
      <w:sz w:val="24"/>
      <w:szCs w:val="20"/>
      <w:lang w:eastAsia="ko-KR"/>
    </w:rPr>
  </w:style>
  <w:style w:type="paragraph" w:styleId="Title">
    <w:name w:val="Title"/>
    <w:basedOn w:val="Normal"/>
    <w:link w:val="TitleChar"/>
    <w:qFormat/>
    <w:rsid w:val="00D31D85"/>
    <w:pPr>
      <w:jc w:val="center"/>
    </w:pPr>
    <w:rPr>
      <w:rFonts w:ascii="Arial" w:hAnsi="Arial"/>
      <w:b/>
      <w:bCs/>
      <w:sz w:val="32"/>
      <w:szCs w:val="20"/>
    </w:rPr>
  </w:style>
  <w:style w:type="character" w:customStyle="1" w:styleId="TitleChar">
    <w:name w:val="Title Char"/>
    <w:basedOn w:val="DefaultParagraphFont"/>
    <w:link w:val="Title"/>
    <w:rsid w:val="00D31D85"/>
    <w:rPr>
      <w:rFonts w:ascii="Arial" w:eastAsia="Times New Roman" w:hAnsi="Arial" w:cs="Times New Roman"/>
      <w:b/>
      <w:bCs/>
      <w:sz w:val="32"/>
      <w:szCs w:val="20"/>
    </w:rPr>
  </w:style>
  <w:style w:type="character" w:customStyle="1" w:styleId="Heading4Char">
    <w:name w:val="Heading 4 Char"/>
    <w:basedOn w:val="DefaultParagraphFont"/>
    <w:link w:val="Heading4"/>
    <w:uiPriority w:val="9"/>
    <w:semiHidden/>
    <w:rsid w:val="00B131A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131A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131A5"/>
    <w:rPr>
      <w:rFonts w:asciiTheme="majorHAnsi" w:eastAsiaTheme="majorEastAsia" w:hAnsiTheme="majorHAnsi" w:cstheme="majorBidi"/>
      <w:i/>
      <w:iCs/>
      <w:color w:val="243F60" w:themeColor="accent1" w:themeShade="7F"/>
      <w:sz w:val="24"/>
      <w:szCs w:val="24"/>
    </w:rPr>
  </w:style>
  <w:style w:type="paragraph" w:styleId="NormalIndent">
    <w:name w:val="Normal Indent"/>
    <w:rsid w:val="00B131A5"/>
    <w:pPr>
      <w:spacing w:after="0" w:line="240" w:lineRule="auto"/>
    </w:pPr>
    <w:rPr>
      <w:rFonts w:ascii="Arial" w:eastAsia="Times New Roman" w:hAnsi="Arial" w:cs="Times New Roman"/>
      <w:sz w:val="24"/>
      <w:szCs w:val="20"/>
    </w:rPr>
  </w:style>
  <w:style w:type="paragraph" w:styleId="Header">
    <w:name w:val="header"/>
    <w:basedOn w:val="Normal"/>
    <w:link w:val="HeaderChar"/>
    <w:rsid w:val="00B131A5"/>
    <w:pPr>
      <w:tabs>
        <w:tab w:val="center" w:pos="4320"/>
        <w:tab w:val="right" w:pos="8640"/>
      </w:tabs>
    </w:pPr>
  </w:style>
  <w:style w:type="character" w:customStyle="1" w:styleId="HeaderChar">
    <w:name w:val="Header Char"/>
    <w:basedOn w:val="DefaultParagraphFont"/>
    <w:link w:val="Header"/>
    <w:rsid w:val="00B131A5"/>
    <w:rPr>
      <w:rFonts w:ascii="Times New Roman" w:eastAsia="Times New Roman" w:hAnsi="Times New Roman" w:cs="Times New Roman"/>
      <w:sz w:val="24"/>
      <w:szCs w:val="24"/>
    </w:rPr>
  </w:style>
  <w:style w:type="paragraph" w:styleId="ListParagraph">
    <w:name w:val="List Paragraph"/>
    <w:basedOn w:val="Normal"/>
    <w:uiPriority w:val="34"/>
    <w:qFormat/>
    <w:rsid w:val="00A61EBC"/>
    <w:pPr>
      <w:ind w:left="720"/>
      <w:contextualSpacing/>
    </w:pPr>
  </w:style>
  <w:style w:type="paragraph" w:styleId="EndnoteText">
    <w:name w:val="endnote text"/>
    <w:basedOn w:val="Normal"/>
    <w:link w:val="EndnoteTextChar"/>
    <w:uiPriority w:val="99"/>
    <w:semiHidden/>
    <w:unhideWhenUsed/>
    <w:rsid w:val="00BA53FD"/>
    <w:rPr>
      <w:sz w:val="20"/>
      <w:szCs w:val="20"/>
    </w:rPr>
  </w:style>
  <w:style w:type="character" w:customStyle="1" w:styleId="EndnoteTextChar">
    <w:name w:val="Endnote Text Char"/>
    <w:basedOn w:val="DefaultParagraphFont"/>
    <w:link w:val="EndnoteText"/>
    <w:uiPriority w:val="99"/>
    <w:semiHidden/>
    <w:rsid w:val="00BA53F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A53FD"/>
    <w:rPr>
      <w:vertAlign w:val="superscript"/>
    </w:rPr>
  </w:style>
  <w:style w:type="table" w:styleId="TableGrid">
    <w:name w:val="Table Grid"/>
    <w:basedOn w:val="TableNormal"/>
    <w:uiPriority w:val="59"/>
    <w:rsid w:val="00F9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BFB"/>
    <w:rPr>
      <w:rFonts w:ascii="Tahoma" w:hAnsi="Tahoma" w:cs="Tahoma"/>
      <w:sz w:val="16"/>
      <w:szCs w:val="16"/>
    </w:rPr>
  </w:style>
  <w:style w:type="character" w:customStyle="1" w:styleId="BalloonTextChar">
    <w:name w:val="Balloon Text Char"/>
    <w:basedOn w:val="DefaultParagraphFont"/>
    <w:link w:val="BalloonText"/>
    <w:uiPriority w:val="99"/>
    <w:semiHidden/>
    <w:rsid w:val="00676BFB"/>
    <w:rPr>
      <w:rFonts w:ascii="Tahoma" w:eastAsia="Times New Roman" w:hAnsi="Tahoma" w:cs="Tahoma"/>
      <w:sz w:val="16"/>
      <w:szCs w:val="16"/>
    </w:rPr>
  </w:style>
  <w:style w:type="character" w:styleId="PlaceholderText">
    <w:name w:val="Placeholder Text"/>
    <w:basedOn w:val="DefaultParagraphFont"/>
    <w:uiPriority w:val="99"/>
    <w:semiHidden/>
    <w:rsid w:val="006C67A1"/>
    <w:rPr>
      <w:color w:val="808080"/>
    </w:rPr>
  </w:style>
  <w:style w:type="character" w:styleId="Hyperlink">
    <w:name w:val="Hyperlink"/>
    <w:basedOn w:val="DefaultParagraphFont"/>
    <w:uiPriority w:val="99"/>
    <w:rsid w:val="00721BE5"/>
    <w:rPr>
      <w:color w:val="0253B7"/>
      <w:u w:val="single"/>
    </w:rPr>
  </w:style>
  <w:style w:type="character" w:styleId="FollowedHyperlink">
    <w:name w:val="FollowedHyperlink"/>
    <w:basedOn w:val="DefaultParagraphFont"/>
    <w:uiPriority w:val="99"/>
    <w:semiHidden/>
    <w:unhideWhenUsed/>
    <w:rsid w:val="006B3088"/>
    <w:rPr>
      <w:color w:val="800080" w:themeColor="followedHyperlink"/>
      <w:u w:val="single"/>
    </w:rPr>
  </w:style>
  <w:style w:type="character" w:styleId="CommentReference">
    <w:name w:val="annotation reference"/>
    <w:basedOn w:val="DefaultParagraphFont"/>
    <w:uiPriority w:val="99"/>
    <w:semiHidden/>
    <w:unhideWhenUsed/>
    <w:rsid w:val="008313CD"/>
    <w:rPr>
      <w:sz w:val="16"/>
      <w:szCs w:val="16"/>
    </w:rPr>
  </w:style>
  <w:style w:type="paragraph" w:styleId="CommentText">
    <w:name w:val="annotation text"/>
    <w:basedOn w:val="Normal"/>
    <w:link w:val="CommentTextChar"/>
    <w:uiPriority w:val="99"/>
    <w:unhideWhenUsed/>
    <w:rsid w:val="008313CD"/>
    <w:rPr>
      <w:sz w:val="20"/>
      <w:szCs w:val="20"/>
    </w:rPr>
  </w:style>
  <w:style w:type="character" w:customStyle="1" w:styleId="CommentTextChar">
    <w:name w:val="Comment Text Char"/>
    <w:basedOn w:val="DefaultParagraphFont"/>
    <w:link w:val="CommentText"/>
    <w:uiPriority w:val="99"/>
    <w:rsid w:val="008313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13CD"/>
    <w:rPr>
      <w:b/>
      <w:bCs/>
    </w:rPr>
  </w:style>
  <w:style w:type="character" w:customStyle="1" w:styleId="CommentSubjectChar">
    <w:name w:val="Comment Subject Char"/>
    <w:basedOn w:val="CommentTextChar"/>
    <w:link w:val="CommentSubject"/>
    <w:uiPriority w:val="99"/>
    <w:semiHidden/>
    <w:rsid w:val="008313C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615C8"/>
    <w:pPr>
      <w:tabs>
        <w:tab w:val="center" w:pos="4680"/>
        <w:tab w:val="right" w:pos="9360"/>
      </w:tabs>
    </w:pPr>
  </w:style>
  <w:style w:type="character" w:customStyle="1" w:styleId="FooterChar">
    <w:name w:val="Footer Char"/>
    <w:basedOn w:val="DefaultParagraphFont"/>
    <w:link w:val="Footer"/>
    <w:uiPriority w:val="99"/>
    <w:rsid w:val="003615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81704">
      <w:bodyDiv w:val="1"/>
      <w:marLeft w:val="0"/>
      <w:marRight w:val="0"/>
      <w:marTop w:val="0"/>
      <w:marBottom w:val="0"/>
      <w:divBdr>
        <w:top w:val="none" w:sz="0" w:space="0" w:color="auto"/>
        <w:left w:val="none" w:sz="0" w:space="0" w:color="auto"/>
        <w:bottom w:val="none" w:sz="0" w:space="0" w:color="auto"/>
        <w:right w:val="none" w:sz="0" w:space="0" w:color="auto"/>
      </w:divBdr>
    </w:div>
    <w:div w:id="21296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rsonal.vanguard.com/us/insights/article/ira-insights-location-03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eisler@umsl.ed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clevelandfed.org/our-research/indicators-and-data/inflation-expectations.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tl.umsl.edu\steamboat\g\geislerg\Tax%20Efficient%20Holdings%20Stocks%20vs%20Bonds\Figure1_Rs%20vs%20Rb%20Excel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aseline="0">
                <a:effectLst/>
              </a:rPr>
              <a:t>For points southeast (northwest) of the line, </a:t>
            </a:r>
          </a:p>
          <a:p>
            <a:pPr>
              <a:defRPr/>
            </a:pPr>
            <a:r>
              <a:rPr lang="en-US" sz="1000" baseline="0">
                <a:effectLst/>
              </a:rPr>
              <a:t>individuals will be wealthier if </a:t>
            </a:r>
          </a:p>
          <a:p>
            <a:pPr>
              <a:defRPr/>
            </a:pPr>
            <a:r>
              <a:rPr lang="en-US" sz="1000" baseline="0">
                <a:effectLst/>
              </a:rPr>
              <a:t>Bonds In - Stocks Out (Stocks In - Bonds Out).</a:t>
            </a:r>
            <a:endParaRPr lang="en-US" sz="1000">
              <a:effectLst/>
            </a:endParaRPr>
          </a:p>
        </c:rich>
      </c:tx>
      <c:layout>
        <c:manualLayout>
          <c:xMode val="edge"/>
          <c:yMode val="edge"/>
          <c:x val="0.16862318590544281"/>
          <c:y val="0.13591573421743336"/>
        </c:manualLayout>
      </c:layout>
      <c:overlay val="1"/>
    </c:title>
    <c:autoTitleDeleted val="0"/>
    <c:plotArea>
      <c:layout/>
      <c:lineChart>
        <c:grouping val="standard"/>
        <c:varyColors val="0"/>
        <c:ser>
          <c:idx val="0"/>
          <c:order val="0"/>
          <c:tx>
            <c:strRef>
              <c:f>t25g15n20!$G$2</c:f>
              <c:strCache>
                <c:ptCount val="1"/>
                <c:pt idx="0">
                  <c:v>t=25%, g=15%</c:v>
                </c:pt>
              </c:strCache>
            </c:strRef>
          </c:tx>
          <c:spPr>
            <a:ln w="15875">
              <a:prstDash val="dash"/>
            </a:ln>
          </c:spPr>
          <c:marker>
            <c:symbol val="none"/>
          </c:marker>
          <c:cat>
            <c:numRef>
              <c:f>t25g15n20!$E$3:$E$103</c:f>
              <c:numCache>
                <c:formatCode>0.0%</c:formatCode>
                <c:ptCount val="101"/>
                <c:pt idx="0">
                  <c:v>0</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9.0000000000000011E-3</c:v>
                </c:pt>
                <c:pt idx="10">
                  <c:v>1.0000000000000002E-2</c:v>
                </c:pt>
                <c:pt idx="11">
                  <c:v>1.1000000000000003E-2</c:v>
                </c:pt>
                <c:pt idx="12">
                  <c:v>1.2000000000000004E-2</c:v>
                </c:pt>
                <c:pt idx="13">
                  <c:v>1.3000000000000005E-2</c:v>
                </c:pt>
                <c:pt idx="14">
                  <c:v>1.4000000000000005E-2</c:v>
                </c:pt>
                <c:pt idx="15">
                  <c:v>1.5000000000000006E-2</c:v>
                </c:pt>
                <c:pt idx="16">
                  <c:v>1.6000000000000007E-2</c:v>
                </c:pt>
                <c:pt idx="17">
                  <c:v>1.7000000000000008E-2</c:v>
                </c:pt>
                <c:pt idx="18">
                  <c:v>1.8000000000000009E-2</c:v>
                </c:pt>
                <c:pt idx="19">
                  <c:v>1.900000000000001E-2</c:v>
                </c:pt>
                <c:pt idx="20">
                  <c:v>2.0000000000000011E-2</c:v>
                </c:pt>
                <c:pt idx="21">
                  <c:v>2.1000000000000012E-2</c:v>
                </c:pt>
                <c:pt idx="22">
                  <c:v>2.2000000000000013E-2</c:v>
                </c:pt>
                <c:pt idx="23">
                  <c:v>2.3000000000000013E-2</c:v>
                </c:pt>
                <c:pt idx="24">
                  <c:v>2.4000000000000014E-2</c:v>
                </c:pt>
                <c:pt idx="25">
                  <c:v>2.5000000000000015E-2</c:v>
                </c:pt>
                <c:pt idx="26">
                  <c:v>2.6000000000000016E-2</c:v>
                </c:pt>
                <c:pt idx="27">
                  <c:v>2.7000000000000017E-2</c:v>
                </c:pt>
                <c:pt idx="28">
                  <c:v>2.8000000000000018E-2</c:v>
                </c:pt>
                <c:pt idx="29">
                  <c:v>2.9000000000000019E-2</c:v>
                </c:pt>
                <c:pt idx="30">
                  <c:v>3.000000000000002E-2</c:v>
                </c:pt>
                <c:pt idx="31">
                  <c:v>3.1000000000000021E-2</c:v>
                </c:pt>
                <c:pt idx="32">
                  <c:v>3.2000000000000021E-2</c:v>
                </c:pt>
                <c:pt idx="33">
                  <c:v>3.3000000000000022E-2</c:v>
                </c:pt>
                <c:pt idx="34">
                  <c:v>3.4000000000000023E-2</c:v>
                </c:pt>
                <c:pt idx="35">
                  <c:v>3.5000000000000024E-2</c:v>
                </c:pt>
                <c:pt idx="36">
                  <c:v>3.6000000000000025E-2</c:v>
                </c:pt>
                <c:pt idx="37">
                  <c:v>3.7000000000000026E-2</c:v>
                </c:pt>
                <c:pt idx="38">
                  <c:v>3.8000000000000027E-2</c:v>
                </c:pt>
                <c:pt idx="39">
                  <c:v>3.9000000000000028E-2</c:v>
                </c:pt>
                <c:pt idx="40">
                  <c:v>4.0000000000000029E-2</c:v>
                </c:pt>
                <c:pt idx="41">
                  <c:v>4.1000000000000029E-2</c:v>
                </c:pt>
                <c:pt idx="42">
                  <c:v>4.200000000000003E-2</c:v>
                </c:pt>
                <c:pt idx="43">
                  <c:v>4.3000000000000031E-2</c:v>
                </c:pt>
                <c:pt idx="44">
                  <c:v>4.4000000000000032E-2</c:v>
                </c:pt>
                <c:pt idx="45">
                  <c:v>4.5000000000000033E-2</c:v>
                </c:pt>
                <c:pt idx="46">
                  <c:v>4.6000000000000034E-2</c:v>
                </c:pt>
                <c:pt idx="47">
                  <c:v>4.7000000000000035E-2</c:v>
                </c:pt>
                <c:pt idx="48">
                  <c:v>4.8000000000000036E-2</c:v>
                </c:pt>
                <c:pt idx="49">
                  <c:v>4.9000000000000037E-2</c:v>
                </c:pt>
                <c:pt idx="50">
                  <c:v>5.0000000000000037E-2</c:v>
                </c:pt>
                <c:pt idx="51">
                  <c:v>5.1000000000000038E-2</c:v>
                </c:pt>
                <c:pt idx="52">
                  <c:v>5.2000000000000039E-2</c:v>
                </c:pt>
                <c:pt idx="53">
                  <c:v>5.300000000000004E-2</c:v>
                </c:pt>
                <c:pt idx="54">
                  <c:v>5.4000000000000041E-2</c:v>
                </c:pt>
                <c:pt idx="55">
                  <c:v>5.5000000000000042E-2</c:v>
                </c:pt>
                <c:pt idx="56">
                  <c:v>5.6000000000000043E-2</c:v>
                </c:pt>
                <c:pt idx="57">
                  <c:v>5.7000000000000044E-2</c:v>
                </c:pt>
                <c:pt idx="58">
                  <c:v>5.8000000000000045E-2</c:v>
                </c:pt>
                <c:pt idx="59">
                  <c:v>5.9000000000000045E-2</c:v>
                </c:pt>
                <c:pt idx="60">
                  <c:v>6.0000000000000046E-2</c:v>
                </c:pt>
                <c:pt idx="61">
                  <c:v>6.1000000000000047E-2</c:v>
                </c:pt>
                <c:pt idx="62">
                  <c:v>6.2000000000000048E-2</c:v>
                </c:pt>
                <c:pt idx="63">
                  <c:v>6.3000000000000042E-2</c:v>
                </c:pt>
                <c:pt idx="64">
                  <c:v>6.4000000000000043E-2</c:v>
                </c:pt>
                <c:pt idx="65">
                  <c:v>6.5000000000000044E-2</c:v>
                </c:pt>
                <c:pt idx="66">
                  <c:v>6.6000000000000045E-2</c:v>
                </c:pt>
                <c:pt idx="67">
                  <c:v>6.7000000000000046E-2</c:v>
                </c:pt>
                <c:pt idx="68">
                  <c:v>6.8000000000000047E-2</c:v>
                </c:pt>
                <c:pt idx="69">
                  <c:v>6.9000000000000047E-2</c:v>
                </c:pt>
                <c:pt idx="70">
                  <c:v>7.0000000000000048E-2</c:v>
                </c:pt>
                <c:pt idx="71">
                  <c:v>7.1000000000000049E-2</c:v>
                </c:pt>
                <c:pt idx="72">
                  <c:v>7.200000000000005E-2</c:v>
                </c:pt>
                <c:pt idx="73">
                  <c:v>7.3000000000000051E-2</c:v>
                </c:pt>
                <c:pt idx="74">
                  <c:v>7.4000000000000052E-2</c:v>
                </c:pt>
                <c:pt idx="75">
                  <c:v>7.5000000000000053E-2</c:v>
                </c:pt>
                <c:pt idx="76">
                  <c:v>7.6000000000000054E-2</c:v>
                </c:pt>
                <c:pt idx="77">
                  <c:v>7.7000000000000055E-2</c:v>
                </c:pt>
                <c:pt idx="78">
                  <c:v>7.8000000000000055E-2</c:v>
                </c:pt>
                <c:pt idx="79">
                  <c:v>7.9000000000000056E-2</c:v>
                </c:pt>
                <c:pt idx="80">
                  <c:v>8.0000000000000057E-2</c:v>
                </c:pt>
                <c:pt idx="81">
                  <c:v>8.1000000000000058E-2</c:v>
                </c:pt>
                <c:pt idx="82">
                  <c:v>8.2000000000000059E-2</c:v>
                </c:pt>
                <c:pt idx="83">
                  <c:v>8.300000000000006E-2</c:v>
                </c:pt>
                <c:pt idx="84">
                  <c:v>8.4000000000000061E-2</c:v>
                </c:pt>
                <c:pt idx="85">
                  <c:v>8.5000000000000062E-2</c:v>
                </c:pt>
                <c:pt idx="86">
                  <c:v>8.6000000000000063E-2</c:v>
                </c:pt>
                <c:pt idx="87">
                  <c:v>8.7000000000000063E-2</c:v>
                </c:pt>
                <c:pt idx="88">
                  <c:v>8.8000000000000064E-2</c:v>
                </c:pt>
                <c:pt idx="89">
                  <c:v>8.9000000000000065E-2</c:v>
                </c:pt>
                <c:pt idx="90">
                  <c:v>9.0000000000000066E-2</c:v>
                </c:pt>
                <c:pt idx="91">
                  <c:v>9.1000000000000067E-2</c:v>
                </c:pt>
                <c:pt idx="92">
                  <c:v>9.2000000000000068E-2</c:v>
                </c:pt>
                <c:pt idx="93">
                  <c:v>9.3000000000000069E-2</c:v>
                </c:pt>
                <c:pt idx="94">
                  <c:v>9.400000000000007E-2</c:v>
                </c:pt>
                <c:pt idx="95">
                  <c:v>9.500000000000007E-2</c:v>
                </c:pt>
                <c:pt idx="96">
                  <c:v>9.6000000000000071E-2</c:v>
                </c:pt>
                <c:pt idx="97">
                  <c:v>9.7000000000000072E-2</c:v>
                </c:pt>
                <c:pt idx="98">
                  <c:v>9.8000000000000073E-2</c:v>
                </c:pt>
                <c:pt idx="99">
                  <c:v>9.9000000000000074E-2</c:v>
                </c:pt>
                <c:pt idx="100">
                  <c:v>0.10000000000000007</c:v>
                </c:pt>
              </c:numCache>
            </c:numRef>
          </c:cat>
          <c:val>
            <c:numRef>
              <c:f>t25g15n20!$G$3:$G$103</c:f>
              <c:numCache>
                <c:formatCode>0.00%</c:formatCode>
                <c:ptCount val="101"/>
                <c:pt idx="0">
                  <c:v>0</c:v>
                </c:pt>
                <c:pt idx="1">
                  <c:v>1.6679014305822637E-3</c:v>
                </c:pt>
                <c:pt idx="2">
                  <c:v>3.3379439159890723E-3</c:v>
                </c:pt>
                <c:pt idx="3">
                  <c:v>5.0096572107427573E-3</c:v>
                </c:pt>
                <c:pt idx="4">
                  <c:v>6.6825999660906632E-3</c:v>
                </c:pt>
                <c:pt idx="5">
                  <c:v>8.3563584230166299E-3</c:v>
                </c:pt>
                <c:pt idx="6">
                  <c:v>1.0030545125436108E-2</c:v>
                </c:pt>
                <c:pt idx="7">
                  <c:v>1.1704797658937061E-2</c:v>
                </c:pt>
                <c:pt idx="8">
                  <c:v>1.337877741963589E-2</c:v>
                </c:pt>
                <c:pt idx="9">
                  <c:v>1.505216841664847E-2</c:v>
                </c:pt>
                <c:pt idx="10">
                  <c:v>1.6724676111048664E-2</c:v>
                </c:pt>
                <c:pt idx="11">
                  <c:v>1.8396026293373557E-2</c:v>
                </c:pt>
                <c:pt idx="12">
                  <c:v>2.0065964001245051E-2</c:v>
                </c:pt>
                <c:pt idx="13">
                  <c:v>2.1734252478064819E-2</c:v>
                </c:pt>
                <c:pt idx="14">
                  <c:v>2.3400672173382153E-2</c:v>
                </c:pt>
                <c:pt idx="15">
                  <c:v>2.5065019785063036E-2</c:v>
                </c:pt>
                <c:pt idx="16">
                  <c:v>2.6727107343154088E-2</c:v>
                </c:pt>
                <c:pt idx="17">
                  <c:v>2.8386761334981747E-2</c:v>
                </c:pt>
                <c:pt idx="18">
                  <c:v>3.0043821870884502E-2</c:v>
                </c:pt>
                <c:pt idx="19">
                  <c:v>3.1698141889709319E-2</c:v>
                </c:pt>
                <c:pt idx="20">
                  <c:v>3.334958640313368E-2</c:v>
                </c:pt>
                <c:pt idx="21">
                  <c:v>3.4998031777681016E-2</c:v>
                </c:pt>
                <c:pt idx="22">
                  <c:v>3.6643365053297794E-2</c:v>
                </c:pt>
                <c:pt idx="23">
                  <c:v>3.8285483297183065E-2</c:v>
                </c:pt>
                <c:pt idx="24">
                  <c:v>3.9924292991631027E-2</c:v>
                </c:pt>
                <c:pt idx="25">
                  <c:v>4.1559709454525473E-2</c:v>
                </c:pt>
                <c:pt idx="26">
                  <c:v>4.3191656291166503E-2</c:v>
                </c:pt>
                <c:pt idx="27">
                  <c:v>4.4820064876083698E-2</c:v>
                </c:pt>
                <c:pt idx="28">
                  <c:v>4.6444873863506597E-2</c:v>
                </c:pt>
                <c:pt idx="29">
                  <c:v>4.8066028725164855E-2</c:v>
                </c:pt>
                <c:pt idx="30">
                  <c:v>4.9683481314160449E-2</c:v>
                </c:pt>
                <c:pt idx="31">
                  <c:v>5.129718945360473E-2</c:v>
                </c:pt>
                <c:pt idx="32">
                  <c:v>5.2907116548830846E-2</c:v>
                </c:pt>
                <c:pt idx="33">
                  <c:v>5.4513231221967828E-2</c:v>
                </c:pt>
                <c:pt idx="34">
                  <c:v>5.6115506967741702E-2</c:v>
                </c:pt>
                <c:pt idx="35">
                  <c:v>5.7713921829375181E-2</c:v>
                </c:pt>
                <c:pt idx="36">
                  <c:v>5.9308458093543237E-2</c:v>
                </c:pt>
                <c:pt idx="37">
                  <c:v>6.0899102003333372E-2</c:v>
                </c:pt>
                <c:pt idx="38">
                  <c:v>6.2485843488266912E-2</c:v>
                </c:pt>
                <c:pt idx="39">
                  <c:v>6.4068675910401884E-2</c:v>
                </c:pt>
                <c:pt idx="40">
                  <c:v>6.5647595825666594E-2</c:v>
                </c:pt>
                <c:pt idx="41">
                  <c:v>6.7222602759533956E-2</c:v>
                </c:pt>
                <c:pt idx="42">
                  <c:v>6.8793698996268526E-2</c:v>
                </c:pt>
                <c:pt idx="43">
                  <c:v>7.0360889380929992E-2</c:v>
                </c:pt>
                <c:pt idx="44">
                  <c:v>7.1924181133449894E-2</c:v>
                </c:pt>
                <c:pt idx="45">
                  <c:v>7.348358367404173E-2</c:v>
                </c:pt>
                <c:pt idx="46">
                  <c:v>7.5039108459338033E-2</c:v>
                </c:pt>
                <c:pt idx="47">
                  <c:v>7.6590768828578737E-2</c:v>
                </c:pt>
                <c:pt idx="48">
                  <c:v>7.8138579859317048E-2</c:v>
                </c:pt>
                <c:pt idx="49">
                  <c:v>7.9682558232035294E-2</c:v>
                </c:pt>
                <c:pt idx="50">
                  <c:v>8.1222722103193368E-2</c:v>
                </c:pt>
                <c:pt idx="51">
                  <c:v>8.2759090986171957E-2</c:v>
                </c:pt>
                <c:pt idx="52">
                  <c:v>8.4291685639673375E-2</c:v>
                </c:pt>
                <c:pt idx="53">
                  <c:v>8.5820527963114346E-2</c:v>
                </c:pt>
                <c:pt idx="54">
                  <c:v>8.7345640898622623E-2</c:v>
                </c:pt>
                <c:pt idx="55">
                  <c:v>8.8867048339206889E-2</c:v>
                </c:pt>
                <c:pt idx="56">
                  <c:v>9.0384775042767096E-2</c:v>
                </c:pt>
                <c:pt idx="57">
                  <c:v>9.1898846551569324E-2</c:v>
                </c:pt>
                <c:pt idx="58">
                  <c:v>9.3409289116873406E-2</c:v>
                </c:pt>
                <c:pt idx="59">
                  <c:v>9.4916129628396906E-2</c:v>
                </c:pt>
                <c:pt idx="60">
                  <c:v>9.6419395548322795E-2</c:v>
                </c:pt>
                <c:pt idx="61">
                  <c:v>9.7919114849579936E-2</c:v>
                </c:pt>
                <c:pt idx="62">
                  <c:v>9.94153159581459E-2</c:v>
                </c:pt>
                <c:pt idx="63">
                  <c:v>0.10090802769910856</c:v>
                </c:pt>
                <c:pt idx="64">
                  <c:v>0.10239727924628395</c:v>
                </c:pt>
                <c:pt idx="65">
                  <c:v>0.10388310007515322</c:v>
                </c:pt>
                <c:pt idx="66">
                  <c:v>0.10536551991893917</c:v>
                </c:pt>
                <c:pt idx="67">
                  <c:v>0.10684456872760428</c:v>
                </c:pt>
                <c:pt idx="68">
                  <c:v>0.10832027662962562</c:v>
                </c:pt>
                <c:pt idx="69">
                  <c:v>0.10979267389634462</c:v>
                </c:pt>
                <c:pt idx="70">
                  <c:v>0.1112617909087652</c:v>
                </c:pt>
                <c:pt idx="71">
                  <c:v>0.11272765812662433</c:v>
                </c:pt>
                <c:pt idx="72">
                  <c:v>0.11419030605961922</c:v>
                </c:pt>
                <c:pt idx="73">
                  <c:v>0.11564976524063764</c:v>
                </c:pt>
                <c:pt idx="74">
                  <c:v>0.11710606620089514</c:v>
                </c:pt>
                <c:pt idx="75">
                  <c:v>0.11855923944682889</c:v>
                </c:pt>
                <c:pt idx="76">
                  <c:v>0.12000931543867677</c:v>
                </c:pt>
                <c:pt idx="77">
                  <c:v>0.12145632457060662</c:v>
                </c:pt>
                <c:pt idx="78">
                  <c:v>0.12290029715232254</c:v>
                </c:pt>
                <c:pt idx="79">
                  <c:v>0.1243412633920451</c:v>
                </c:pt>
                <c:pt idx="80">
                  <c:v>0.12577925338078577</c:v>
                </c:pt>
                <c:pt idx="81">
                  <c:v>0.1272142970778305</c:v>
                </c:pt>
                <c:pt idx="82">
                  <c:v>0.12864642429736861</c:v>
                </c:pt>
                <c:pt idx="83">
                  <c:v>0.13007566469617959</c:v>
                </c:pt>
                <c:pt idx="84">
                  <c:v>0.1315020477623301</c:v>
                </c:pt>
                <c:pt idx="85">
                  <c:v>0.13292560280479915</c:v>
                </c:pt>
                <c:pt idx="86">
                  <c:v>0.13434635894399372</c:v>
                </c:pt>
                <c:pt idx="87">
                  <c:v>0.13576434510307989</c:v>
                </c:pt>
                <c:pt idx="88">
                  <c:v>0.1371795900000945</c:v>
                </c:pt>
                <c:pt idx="89">
                  <c:v>0.13859212214077199</c:v>
                </c:pt>
                <c:pt idx="90">
                  <c:v>0.14000196981205959</c:v>
                </c:pt>
                <c:pt idx="91">
                  <c:v>0.14140916107625934</c:v>
                </c:pt>
                <c:pt idx="92">
                  <c:v>0.14281372376577184</c:v>
                </c:pt>
                <c:pt idx="93">
                  <c:v>0.1442156854783867</c:v>
                </c:pt>
                <c:pt idx="94">
                  <c:v>0.14561507357311032</c:v>
                </c:pt>
                <c:pt idx="95">
                  <c:v>0.14701191516646128</c:v>
                </c:pt>
                <c:pt idx="96">
                  <c:v>0.14840623712923895</c:v>
                </c:pt>
                <c:pt idx="97">
                  <c:v>0.14979806608370461</c:v>
                </c:pt>
                <c:pt idx="98">
                  <c:v>0.15118742840117205</c:v>
                </c:pt>
                <c:pt idx="99">
                  <c:v>0.15257435019995902</c:v>
                </c:pt>
                <c:pt idx="100">
                  <c:v>0.15395885734369674</c:v>
                </c:pt>
              </c:numCache>
            </c:numRef>
          </c:val>
          <c:smooth val="0"/>
        </c:ser>
        <c:ser>
          <c:idx val="1"/>
          <c:order val="1"/>
          <c:tx>
            <c:strRef>
              <c:f>t25g15n20!$H$2</c:f>
              <c:strCache>
                <c:ptCount val="1"/>
                <c:pt idx="0">
                  <c:v>t=28%, g=15%</c:v>
                </c:pt>
              </c:strCache>
            </c:strRef>
          </c:tx>
          <c:spPr>
            <a:ln w="15875">
              <a:prstDash val="dashDot"/>
            </a:ln>
          </c:spPr>
          <c:marker>
            <c:symbol val="none"/>
          </c:marker>
          <c:cat>
            <c:numRef>
              <c:f>t25g15n20!$E$3:$E$103</c:f>
              <c:numCache>
                <c:formatCode>0.0%</c:formatCode>
                <c:ptCount val="101"/>
                <c:pt idx="0">
                  <c:v>0</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9.0000000000000011E-3</c:v>
                </c:pt>
                <c:pt idx="10">
                  <c:v>1.0000000000000002E-2</c:v>
                </c:pt>
                <c:pt idx="11">
                  <c:v>1.1000000000000003E-2</c:v>
                </c:pt>
                <c:pt idx="12">
                  <c:v>1.2000000000000004E-2</c:v>
                </c:pt>
                <c:pt idx="13">
                  <c:v>1.3000000000000005E-2</c:v>
                </c:pt>
                <c:pt idx="14">
                  <c:v>1.4000000000000005E-2</c:v>
                </c:pt>
                <c:pt idx="15">
                  <c:v>1.5000000000000006E-2</c:v>
                </c:pt>
                <c:pt idx="16">
                  <c:v>1.6000000000000007E-2</c:v>
                </c:pt>
                <c:pt idx="17">
                  <c:v>1.7000000000000008E-2</c:v>
                </c:pt>
                <c:pt idx="18">
                  <c:v>1.8000000000000009E-2</c:v>
                </c:pt>
                <c:pt idx="19">
                  <c:v>1.900000000000001E-2</c:v>
                </c:pt>
                <c:pt idx="20">
                  <c:v>2.0000000000000011E-2</c:v>
                </c:pt>
                <c:pt idx="21">
                  <c:v>2.1000000000000012E-2</c:v>
                </c:pt>
                <c:pt idx="22">
                  <c:v>2.2000000000000013E-2</c:v>
                </c:pt>
                <c:pt idx="23">
                  <c:v>2.3000000000000013E-2</c:v>
                </c:pt>
                <c:pt idx="24">
                  <c:v>2.4000000000000014E-2</c:v>
                </c:pt>
                <c:pt idx="25">
                  <c:v>2.5000000000000015E-2</c:v>
                </c:pt>
                <c:pt idx="26">
                  <c:v>2.6000000000000016E-2</c:v>
                </c:pt>
                <c:pt idx="27">
                  <c:v>2.7000000000000017E-2</c:v>
                </c:pt>
                <c:pt idx="28">
                  <c:v>2.8000000000000018E-2</c:v>
                </c:pt>
                <c:pt idx="29">
                  <c:v>2.9000000000000019E-2</c:v>
                </c:pt>
                <c:pt idx="30">
                  <c:v>3.000000000000002E-2</c:v>
                </c:pt>
                <c:pt idx="31">
                  <c:v>3.1000000000000021E-2</c:v>
                </c:pt>
                <c:pt idx="32">
                  <c:v>3.2000000000000021E-2</c:v>
                </c:pt>
                <c:pt idx="33">
                  <c:v>3.3000000000000022E-2</c:v>
                </c:pt>
                <c:pt idx="34">
                  <c:v>3.4000000000000023E-2</c:v>
                </c:pt>
                <c:pt idx="35">
                  <c:v>3.5000000000000024E-2</c:v>
                </c:pt>
                <c:pt idx="36">
                  <c:v>3.6000000000000025E-2</c:v>
                </c:pt>
                <c:pt idx="37">
                  <c:v>3.7000000000000026E-2</c:v>
                </c:pt>
                <c:pt idx="38">
                  <c:v>3.8000000000000027E-2</c:v>
                </c:pt>
                <c:pt idx="39">
                  <c:v>3.9000000000000028E-2</c:v>
                </c:pt>
                <c:pt idx="40">
                  <c:v>4.0000000000000029E-2</c:v>
                </c:pt>
                <c:pt idx="41">
                  <c:v>4.1000000000000029E-2</c:v>
                </c:pt>
                <c:pt idx="42">
                  <c:v>4.200000000000003E-2</c:v>
                </c:pt>
                <c:pt idx="43">
                  <c:v>4.3000000000000031E-2</c:v>
                </c:pt>
                <c:pt idx="44">
                  <c:v>4.4000000000000032E-2</c:v>
                </c:pt>
                <c:pt idx="45">
                  <c:v>4.5000000000000033E-2</c:v>
                </c:pt>
                <c:pt idx="46">
                  <c:v>4.6000000000000034E-2</c:v>
                </c:pt>
                <c:pt idx="47">
                  <c:v>4.7000000000000035E-2</c:v>
                </c:pt>
                <c:pt idx="48">
                  <c:v>4.8000000000000036E-2</c:v>
                </c:pt>
                <c:pt idx="49">
                  <c:v>4.9000000000000037E-2</c:v>
                </c:pt>
                <c:pt idx="50">
                  <c:v>5.0000000000000037E-2</c:v>
                </c:pt>
                <c:pt idx="51">
                  <c:v>5.1000000000000038E-2</c:v>
                </c:pt>
                <c:pt idx="52">
                  <c:v>5.2000000000000039E-2</c:v>
                </c:pt>
                <c:pt idx="53">
                  <c:v>5.300000000000004E-2</c:v>
                </c:pt>
                <c:pt idx="54">
                  <c:v>5.4000000000000041E-2</c:v>
                </c:pt>
                <c:pt idx="55">
                  <c:v>5.5000000000000042E-2</c:v>
                </c:pt>
                <c:pt idx="56">
                  <c:v>5.6000000000000043E-2</c:v>
                </c:pt>
                <c:pt idx="57">
                  <c:v>5.7000000000000044E-2</c:v>
                </c:pt>
                <c:pt idx="58">
                  <c:v>5.8000000000000045E-2</c:v>
                </c:pt>
                <c:pt idx="59">
                  <c:v>5.9000000000000045E-2</c:v>
                </c:pt>
                <c:pt idx="60">
                  <c:v>6.0000000000000046E-2</c:v>
                </c:pt>
                <c:pt idx="61">
                  <c:v>6.1000000000000047E-2</c:v>
                </c:pt>
                <c:pt idx="62">
                  <c:v>6.2000000000000048E-2</c:v>
                </c:pt>
                <c:pt idx="63">
                  <c:v>6.3000000000000042E-2</c:v>
                </c:pt>
                <c:pt idx="64">
                  <c:v>6.4000000000000043E-2</c:v>
                </c:pt>
                <c:pt idx="65">
                  <c:v>6.5000000000000044E-2</c:v>
                </c:pt>
                <c:pt idx="66">
                  <c:v>6.6000000000000045E-2</c:v>
                </c:pt>
                <c:pt idx="67">
                  <c:v>6.7000000000000046E-2</c:v>
                </c:pt>
                <c:pt idx="68">
                  <c:v>6.8000000000000047E-2</c:v>
                </c:pt>
                <c:pt idx="69">
                  <c:v>6.9000000000000047E-2</c:v>
                </c:pt>
                <c:pt idx="70">
                  <c:v>7.0000000000000048E-2</c:v>
                </c:pt>
                <c:pt idx="71">
                  <c:v>7.1000000000000049E-2</c:v>
                </c:pt>
                <c:pt idx="72">
                  <c:v>7.200000000000005E-2</c:v>
                </c:pt>
                <c:pt idx="73">
                  <c:v>7.3000000000000051E-2</c:v>
                </c:pt>
                <c:pt idx="74">
                  <c:v>7.4000000000000052E-2</c:v>
                </c:pt>
                <c:pt idx="75">
                  <c:v>7.5000000000000053E-2</c:v>
                </c:pt>
                <c:pt idx="76">
                  <c:v>7.6000000000000054E-2</c:v>
                </c:pt>
                <c:pt idx="77">
                  <c:v>7.7000000000000055E-2</c:v>
                </c:pt>
                <c:pt idx="78">
                  <c:v>7.8000000000000055E-2</c:v>
                </c:pt>
                <c:pt idx="79">
                  <c:v>7.9000000000000056E-2</c:v>
                </c:pt>
                <c:pt idx="80">
                  <c:v>8.0000000000000057E-2</c:v>
                </c:pt>
                <c:pt idx="81">
                  <c:v>8.1000000000000058E-2</c:v>
                </c:pt>
                <c:pt idx="82">
                  <c:v>8.2000000000000059E-2</c:v>
                </c:pt>
                <c:pt idx="83">
                  <c:v>8.300000000000006E-2</c:v>
                </c:pt>
                <c:pt idx="84">
                  <c:v>8.4000000000000061E-2</c:v>
                </c:pt>
                <c:pt idx="85">
                  <c:v>8.5000000000000062E-2</c:v>
                </c:pt>
                <c:pt idx="86">
                  <c:v>8.6000000000000063E-2</c:v>
                </c:pt>
                <c:pt idx="87">
                  <c:v>8.7000000000000063E-2</c:v>
                </c:pt>
                <c:pt idx="88">
                  <c:v>8.8000000000000064E-2</c:v>
                </c:pt>
                <c:pt idx="89">
                  <c:v>8.9000000000000065E-2</c:v>
                </c:pt>
                <c:pt idx="90">
                  <c:v>9.0000000000000066E-2</c:v>
                </c:pt>
                <c:pt idx="91">
                  <c:v>9.1000000000000067E-2</c:v>
                </c:pt>
                <c:pt idx="92">
                  <c:v>9.2000000000000068E-2</c:v>
                </c:pt>
                <c:pt idx="93">
                  <c:v>9.3000000000000069E-2</c:v>
                </c:pt>
                <c:pt idx="94">
                  <c:v>9.400000000000007E-2</c:v>
                </c:pt>
                <c:pt idx="95">
                  <c:v>9.500000000000007E-2</c:v>
                </c:pt>
                <c:pt idx="96">
                  <c:v>9.6000000000000071E-2</c:v>
                </c:pt>
                <c:pt idx="97">
                  <c:v>9.7000000000000072E-2</c:v>
                </c:pt>
                <c:pt idx="98">
                  <c:v>9.8000000000000073E-2</c:v>
                </c:pt>
                <c:pt idx="99">
                  <c:v>9.9000000000000074E-2</c:v>
                </c:pt>
                <c:pt idx="100">
                  <c:v>0.10000000000000007</c:v>
                </c:pt>
              </c:numCache>
            </c:numRef>
          </c:cat>
          <c:val>
            <c:numRef>
              <c:f>t25g15n20!$H$3:$H$103</c:f>
              <c:numCache>
                <c:formatCode>0.00%</c:formatCode>
                <c:ptCount val="101"/>
                <c:pt idx="0">
                  <c:v>0</c:v>
                </c:pt>
                <c:pt idx="1">
                  <c:v>1.8640265813052448E-3</c:v>
                </c:pt>
                <c:pt idx="2">
                  <c:v>3.7226250280268935E-3</c:v>
                </c:pt>
                <c:pt idx="3">
                  <c:v>5.5755923289859677E-3</c:v>
                </c:pt>
                <c:pt idx="4">
                  <c:v>7.4227491648772848E-3</c:v>
                </c:pt>
                <c:pt idx="5">
                  <c:v>9.263938074251632E-3</c:v>
                </c:pt>
                <c:pt idx="6">
                  <c:v>1.1099021744309656E-2</c:v>
                </c:pt>
                <c:pt idx="7">
                  <c:v>1.2927881419681375E-2</c:v>
                </c:pt>
                <c:pt idx="8">
                  <c:v>1.4750415422539076E-2</c:v>
                </c:pt>
                <c:pt idx="9">
                  <c:v>1.6566537777418011E-2</c:v>
                </c:pt>
                <c:pt idx="10">
                  <c:v>1.8376176934403299E-2</c:v>
                </c:pt>
                <c:pt idx="11">
                  <c:v>2.0179274584478435E-2</c:v>
                </c:pt>
                <c:pt idx="12">
                  <c:v>2.1975784561150791E-2</c:v>
                </c:pt>
                <c:pt idx="13">
                  <c:v>2.3765671822683743E-2</c:v>
                </c:pt>
                <c:pt idx="14">
                  <c:v>2.5548911509561956E-2</c:v>
                </c:pt>
                <c:pt idx="15">
                  <c:v>2.7325488072074133E-2</c:v>
                </c:pt>
                <c:pt idx="16">
                  <c:v>2.9095394463216184E-2</c:v>
                </c:pt>
                <c:pt idx="17">
                  <c:v>3.0858631392339575E-2</c:v>
                </c:pt>
                <c:pt idx="18">
                  <c:v>3.2615206635297156E-2</c:v>
                </c:pt>
                <c:pt idx="19">
                  <c:v>3.4365134397043473E-2</c:v>
                </c:pt>
                <c:pt idx="20">
                  <c:v>3.6108434722952776E-2</c:v>
                </c:pt>
                <c:pt idx="21">
                  <c:v>3.784513295533376E-2</c:v>
                </c:pt>
                <c:pt idx="22">
                  <c:v>3.9575259231843463E-2</c:v>
                </c:pt>
                <c:pt idx="23">
                  <c:v>4.1298848022744528E-2</c:v>
                </c:pt>
                <c:pt idx="24">
                  <c:v>4.3015937704157459E-2</c:v>
                </c:pt>
                <c:pt idx="25">
                  <c:v>4.4726570164638213E-2</c:v>
                </c:pt>
                <c:pt idx="26">
                  <c:v>4.6430790442617997E-2</c:v>
                </c:pt>
                <c:pt idx="27">
                  <c:v>4.8128646392398222E-2</c:v>
                </c:pt>
                <c:pt idx="28">
                  <c:v>4.9820188376582308E-2</c:v>
                </c:pt>
                <c:pt idx="29">
                  <c:v>5.1505468982951053E-2</c:v>
                </c:pt>
                <c:pt idx="30">
                  <c:v>5.318454276395701E-2</c:v>
                </c:pt>
                <c:pt idx="31">
                  <c:v>5.4857465997121047E-2</c:v>
                </c:pt>
                <c:pt idx="32">
                  <c:v>5.6524296464774082E-2</c:v>
                </c:pt>
                <c:pt idx="33">
                  <c:v>5.8185093251655218E-2</c:v>
                </c:pt>
                <c:pt idx="34">
                  <c:v>5.9839916559048412E-2</c:v>
                </c:pt>
                <c:pt idx="35">
                  <c:v>6.1488827534164514E-2</c:v>
                </c:pt>
                <c:pt idx="36">
                  <c:v>6.313188811364645E-2</c:v>
                </c:pt>
                <c:pt idx="37">
                  <c:v>6.4769160880090437E-2</c:v>
                </c:pt>
                <c:pt idx="38">
                  <c:v>6.6400708930627328E-2</c:v>
                </c:pt>
                <c:pt idx="39">
                  <c:v>6.8026595756601971E-2</c:v>
                </c:pt>
                <c:pt idx="40">
                  <c:v>6.9646885133547443E-2</c:v>
                </c:pt>
                <c:pt idx="41">
                  <c:v>7.1261641020619271E-2</c:v>
                </c:pt>
                <c:pt idx="42">
                  <c:v>7.2870927468816182E-2</c:v>
                </c:pt>
                <c:pt idx="43">
                  <c:v>7.4474808537263071E-2</c:v>
                </c:pt>
                <c:pt idx="44">
                  <c:v>7.6073348216979086E-2</c:v>
                </c:pt>
                <c:pt idx="45">
                  <c:v>7.7666610361515565E-2</c:v>
                </c:pt>
                <c:pt idx="46">
                  <c:v>7.9254658623976404E-2</c:v>
                </c:pt>
                <c:pt idx="47">
                  <c:v>8.0837556399885324E-2</c:v>
                </c:pt>
                <c:pt idx="48">
                  <c:v>8.2415366775484333E-2</c:v>
                </c:pt>
                <c:pt idx="49">
                  <c:v>8.3988152481006884E-2</c:v>
                </c:pt>
                <c:pt idx="50">
                  <c:v>8.5555975848578214E-2</c:v>
                </c:pt>
                <c:pt idx="51">
                  <c:v>8.7118898774342979E-2</c:v>
                </c:pt>
                <c:pt idx="52">
                  <c:v>8.867698268451818E-2</c:v>
                </c:pt>
                <c:pt idx="53">
                  <c:v>9.0230288505047218E-2</c:v>
                </c:pt>
                <c:pt idx="54">
                  <c:v>9.1778876634581286E-2</c:v>
                </c:pt>
                <c:pt idx="55">
                  <c:v>9.3322806920518975E-2</c:v>
                </c:pt>
                <c:pt idx="56">
                  <c:v>9.4862138637865634E-2</c:v>
                </c:pt>
                <c:pt idx="57">
                  <c:v>9.6396930470683317E-2</c:v>
                </c:pt>
                <c:pt idx="58">
                  <c:v>9.7927240495929047E-2</c:v>
                </c:pt>
                <c:pt idx="59">
                  <c:v>9.9453126169487538E-2</c:v>
                </c:pt>
                <c:pt idx="60">
                  <c:v>0.1009746443142181</c:v>
                </c:pt>
                <c:pt idx="61">
                  <c:v>0.1024918511098547</c:v>
                </c:pt>
                <c:pt idx="62">
                  <c:v>0.10400480208460672</c:v>
                </c:pt>
                <c:pt idx="63">
                  <c:v>0.10551355210831947</c:v>
                </c:pt>
                <c:pt idx="64">
                  <c:v>0.10701815538706794</c:v>
                </c:pt>
                <c:pt idx="65">
                  <c:v>0.10851866545905198</c:v>
                </c:pt>
                <c:pt idx="66">
                  <c:v>0.11001513519170358</c:v>
                </c:pt>
                <c:pt idx="67">
                  <c:v>0.11150761677987764</c:v>
                </c:pt>
                <c:pt idx="68">
                  <c:v>0.11299616174505833</c:v>
                </c:pt>
                <c:pt idx="69">
                  <c:v>0.11448082093546397</c:v>
                </c:pt>
                <c:pt idx="70">
                  <c:v>0.11596164452699953</c:v>
                </c:pt>
                <c:pt idx="71">
                  <c:v>0.11743868202495711</c:v>
                </c:pt>
                <c:pt idx="72">
                  <c:v>0.11891198226641175</c:v>
                </c:pt>
                <c:pt idx="73">
                  <c:v>0.12038159342323662</c:v>
                </c:pt>
                <c:pt idx="74">
                  <c:v>0.12184756300568989</c:v>
                </c:pt>
                <c:pt idx="75">
                  <c:v>0.1233099378665059</c:v>
                </c:pt>
                <c:pt idx="76">
                  <c:v>0.1247687642054558</c:v>
                </c:pt>
                <c:pt idx="77">
                  <c:v>0.12622408757431414</c:v>
                </c:pt>
                <c:pt idx="78">
                  <c:v>0.12767595288219979</c:v>
                </c:pt>
                <c:pt idx="79">
                  <c:v>0.12912440440125117</c:v>
                </c:pt>
                <c:pt idx="80">
                  <c:v>0.13056948577259431</c:v>
                </c:pt>
                <c:pt idx="81">
                  <c:v>0.13201124001256925</c:v>
                </c:pt>
                <c:pt idx="82">
                  <c:v>0.1334497095191931</c:v>
                </c:pt>
                <c:pt idx="83">
                  <c:v>0.13488493607881646</c:v>
                </c:pt>
                <c:pt idx="84">
                  <c:v>0.13631696087296574</c:v>
                </c:pt>
                <c:pt idx="85">
                  <c:v>0.13774582448532446</c:v>
                </c:pt>
                <c:pt idx="86">
                  <c:v>0.13917156690885335</c:v>
                </c:pt>
                <c:pt idx="87">
                  <c:v>0.1405942275530081</c:v>
                </c:pt>
                <c:pt idx="88">
                  <c:v>0.14201384525105953</c:v>
                </c:pt>
                <c:pt idx="89">
                  <c:v>0.1434304582674697</c:v>
                </c:pt>
                <c:pt idx="90">
                  <c:v>0.14484410430533945</c:v>
                </c:pt>
                <c:pt idx="91">
                  <c:v>0.14625482051388183</c:v>
                </c:pt>
                <c:pt idx="92">
                  <c:v>0.14766264349593849</c:v>
                </c:pt>
                <c:pt idx="93">
                  <c:v>0.1490676093154979</c:v>
                </c:pt>
                <c:pt idx="94">
                  <c:v>0.15046975350522951</c:v>
                </c:pt>
                <c:pt idx="95">
                  <c:v>0.15186911107400047</c:v>
                </c:pt>
                <c:pt idx="96">
                  <c:v>0.15326571651439136</c:v>
                </c:pt>
                <c:pt idx="97">
                  <c:v>0.15465960381017196</c:v>
                </c:pt>
                <c:pt idx="98">
                  <c:v>0.15605080644376268</c:v>
                </c:pt>
                <c:pt idx="99">
                  <c:v>0.15743935740364101</c:v>
                </c:pt>
                <c:pt idx="100">
                  <c:v>0.15882528919171834</c:v>
                </c:pt>
              </c:numCache>
            </c:numRef>
          </c:val>
          <c:smooth val="0"/>
        </c:ser>
        <c:ser>
          <c:idx val="2"/>
          <c:order val="2"/>
          <c:tx>
            <c:strRef>
              <c:f>t25g15n20!$I$2</c:f>
              <c:strCache>
                <c:ptCount val="1"/>
                <c:pt idx="0">
                  <c:v>t=36.8%, g=18.8%</c:v>
                </c:pt>
              </c:strCache>
            </c:strRef>
          </c:tx>
          <c:spPr>
            <a:ln w="15875">
              <a:prstDash val="sysDot"/>
            </a:ln>
          </c:spPr>
          <c:marker>
            <c:symbol val="none"/>
          </c:marker>
          <c:cat>
            <c:numRef>
              <c:f>t25g15n20!$E$3:$E$103</c:f>
              <c:numCache>
                <c:formatCode>0.0%</c:formatCode>
                <c:ptCount val="101"/>
                <c:pt idx="0">
                  <c:v>0</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9.0000000000000011E-3</c:v>
                </c:pt>
                <c:pt idx="10">
                  <c:v>1.0000000000000002E-2</c:v>
                </c:pt>
                <c:pt idx="11">
                  <c:v>1.1000000000000003E-2</c:v>
                </c:pt>
                <c:pt idx="12">
                  <c:v>1.2000000000000004E-2</c:v>
                </c:pt>
                <c:pt idx="13">
                  <c:v>1.3000000000000005E-2</c:v>
                </c:pt>
                <c:pt idx="14">
                  <c:v>1.4000000000000005E-2</c:v>
                </c:pt>
                <c:pt idx="15">
                  <c:v>1.5000000000000006E-2</c:v>
                </c:pt>
                <c:pt idx="16">
                  <c:v>1.6000000000000007E-2</c:v>
                </c:pt>
                <c:pt idx="17">
                  <c:v>1.7000000000000008E-2</c:v>
                </c:pt>
                <c:pt idx="18">
                  <c:v>1.8000000000000009E-2</c:v>
                </c:pt>
                <c:pt idx="19">
                  <c:v>1.900000000000001E-2</c:v>
                </c:pt>
                <c:pt idx="20">
                  <c:v>2.0000000000000011E-2</c:v>
                </c:pt>
                <c:pt idx="21">
                  <c:v>2.1000000000000012E-2</c:v>
                </c:pt>
                <c:pt idx="22">
                  <c:v>2.2000000000000013E-2</c:v>
                </c:pt>
                <c:pt idx="23">
                  <c:v>2.3000000000000013E-2</c:v>
                </c:pt>
                <c:pt idx="24">
                  <c:v>2.4000000000000014E-2</c:v>
                </c:pt>
                <c:pt idx="25">
                  <c:v>2.5000000000000015E-2</c:v>
                </c:pt>
                <c:pt idx="26">
                  <c:v>2.6000000000000016E-2</c:v>
                </c:pt>
                <c:pt idx="27">
                  <c:v>2.7000000000000017E-2</c:v>
                </c:pt>
                <c:pt idx="28">
                  <c:v>2.8000000000000018E-2</c:v>
                </c:pt>
                <c:pt idx="29">
                  <c:v>2.9000000000000019E-2</c:v>
                </c:pt>
                <c:pt idx="30">
                  <c:v>3.000000000000002E-2</c:v>
                </c:pt>
                <c:pt idx="31">
                  <c:v>3.1000000000000021E-2</c:v>
                </c:pt>
                <c:pt idx="32">
                  <c:v>3.2000000000000021E-2</c:v>
                </c:pt>
                <c:pt idx="33">
                  <c:v>3.3000000000000022E-2</c:v>
                </c:pt>
                <c:pt idx="34">
                  <c:v>3.4000000000000023E-2</c:v>
                </c:pt>
                <c:pt idx="35">
                  <c:v>3.5000000000000024E-2</c:v>
                </c:pt>
                <c:pt idx="36">
                  <c:v>3.6000000000000025E-2</c:v>
                </c:pt>
                <c:pt idx="37">
                  <c:v>3.7000000000000026E-2</c:v>
                </c:pt>
                <c:pt idx="38">
                  <c:v>3.8000000000000027E-2</c:v>
                </c:pt>
                <c:pt idx="39">
                  <c:v>3.9000000000000028E-2</c:v>
                </c:pt>
                <c:pt idx="40">
                  <c:v>4.0000000000000029E-2</c:v>
                </c:pt>
                <c:pt idx="41">
                  <c:v>4.1000000000000029E-2</c:v>
                </c:pt>
                <c:pt idx="42">
                  <c:v>4.200000000000003E-2</c:v>
                </c:pt>
                <c:pt idx="43">
                  <c:v>4.3000000000000031E-2</c:v>
                </c:pt>
                <c:pt idx="44">
                  <c:v>4.4000000000000032E-2</c:v>
                </c:pt>
                <c:pt idx="45">
                  <c:v>4.5000000000000033E-2</c:v>
                </c:pt>
                <c:pt idx="46">
                  <c:v>4.6000000000000034E-2</c:v>
                </c:pt>
                <c:pt idx="47">
                  <c:v>4.7000000000000035E-2</c:v>
                </c:pt>
                <c:pt idx="48">
                  <c:v>4.8000000000000036E-2</c:v>
                </c:pt>
                <c:pt idx="49">
                  <c:v>4.9000000000000037E-2</c:v>
                </c:pt>
                <c:pt idx="50">
                  <c:v>5.0000000000000037E-2</c:v>
                </c:pt>
                <c:pt idx="51">
                  <c:v>5.1000000000000038E-2</c:v>
                </c:pt>
                <c:pt idx="52">
                  <c:v>5.2000000000000039E-2</c:v>
                </c:pt>
                <c:pt idx="53">
                  <c:v>5.300000000000004E-2</c:v>
                </c:pt>
                <c:pt idx="54">
                  <c:v>5.4000000000000041E-2</c:v>
                </c:pt>
                <c:pt idx="55">
                  <c:v>5.5000000000000042E-2</c:v>
                </c:pt>
                <c:pt idx="56">
                  <c:v>5.6000000000000043E-2</c:v>
                </c:pt>
                <c:pt idx="57">
                  <c:v>5.7000000000000044E-2</c:v>
                </c:pt>
                <c:pt idx="58">
                  <c:v>5.8000000000000045E-2</c:v>
                </c:pt>
                <c:pt idx="59">
                  <c:v>5.9000000000000045E-2</c:v>
                </c:pt>
                <c:pt idx="60">
                  <c:v>6.0000000000000046E-2</c:v>
                </c:pt>
                <c:pt idx="61">
                  <c:v>6.1000000000000047E-2</c:v>
                </c:pt>
                <c:pt idx="62">
                  <c:v>6.2000000000000048E-2</c:v>
                </c:pt>
                <c:pt idx="63">
                  <c:v>6.3000000000000042E-2</c:v>
                </c:pt>
                <c:pt idx="64">
                  <c:v>6.4000000000000043E-2</c:v>
                </c:pt>
                <c:pt idx="65">
                  <c:v>6.5000000000000044E-2</c:v>
                </c:pt>
                <c:pt idx="66">
                  <c:v>6.6000000000000045E-2</c:v>
                </c:pt>
                <c:pt idx="67">
                  <c:v>6.7000000000000046E-2</c:v>
                </c:pt>
                <c:pt idx="68">
                  <c:v>6.8000000000000047E-2</c:v>
                </c:pt>
                <c:pt idx="69">
                  <c:v>6.9000000000000047E-2</c:v>
                </c:pt>
                <c:pt idx="70">
                  <c:v>7.0000000000000048E-2</c:v>
                </c:pt>
                <c:pt idx="71">
                  <c:v>7.1000000000000049E-2</c:v>
                </c:pt>
                <c:pt idx="72">
                  <c:v>7.200000000000005E-2</c:v>
                </c:pt>
                <c:pt idx="73">
                  <c:v>7.3000000000000051E-2</c:v>
                </c:pt>
                <c:pt idx="74">
                  <c:v>7.4000000000000052E-2</c:v>
                </c:pt>
                <c:pt idx="75">
                  <c:v>7.5000000000000053E-2</c:v>
                </c:pt>
                <c:pt idx="76">
                  <c:v>7.6000000000000054E-2</c:v>
                </c:pt>
                <c:pt idx="77">
                  <c:v>7.7000000000000055E-2</c:v>
                </c:pt>
                <c:pt idx="78">
                  <c:v>7.8000000000000055E-2</c:v>
                </c:pt>
                <c:pt idx="79">
                  <c:v>7.9000000000000056E-2</c:v>
                </c:pt>
                <c:pt idx="80">
                  <c:v>8.0000000000000057E-2</c:v>
                </c:pt>
                <c:pt idx="81">
                  <c:v>8.1000000000000058E-2</c:v>
                </c:pt>
                <c:pt idx="82">
                  <c:v>8.2000000000000059E-2</c:v>
                </c:pt>
                <c:pt idx="83">
                  <c:v>8.300000000000006E-2</c:v>
                </c:pt>
                <c:pt idx="84">
                  <c:v>8.4000000000000061E-2</c:v>
                </c:pt>
                <c:pt idx="85">
                  <c:v>8.5000000000000062E-2</c:v>
                </c:pt>
                <c:pt idx="86">
                  <c:v>8.6000000000000063E-2</c:v>
                </c:pt>
                <c:pt idx="87">
                  <c:v>8.7000000000000063E-2</c:v>
                </c:pt>
                <c:pt idx="88">
                  <c:v>8.8000000000000064E-2</c:v>
                </c:pt>
                <c:pt idx="89">
                  <c:v>8.9000000000000065E-2</c:v>
                </c:pt>
                <c:pt idx="90">
                  <c:v>9.0000000000000066E-2</c:v>
                </c:pt>
                <c:pt idx="91">
                  <c:v>9.1000000000000067E-2</c:v>
                </c:pt>
                <c:pt idx="92">
                  <c:v>9.2000000000000068E-2</c:v>
                </c:pt>
                <c:pt idx="93">
                  <c:v>9.3000000000000069E-2</c:v>
                </c:pt>
                <c:pt idx="94">
                  <c:v>9.400000000000007E-2</c:v>
                </c:pt>
                <c:pt idx="95">
                  <c:v>9.500000000000007E-2</c:v>
                </c:pt>
                <c:pt idx="96">
                  <c:v>9.6000000000000071E-2</c:v>
                </c:pt>
                <c:pt idx="97">
                  <c:v>9.7000000000000072E-2</c:v>
                </c:pt>
                <c:pt idx="98">
                  <c:v>9.8000000000000073E-2</c:v>
                </c:pt>
                <c:pt idx="99">
                  <c:v>9.9000000000000074E-2</c:v>
                </c:pt>
                <c:pt idx="100">
                  <c:v>0.10000000000000007</c:v>
                </c:pt>
              </c:numCache>
            </c:numRef>
          </c:cat>
          <c:val>
            <c:numRef>
              <c:f>t25g15n20!$I$3:$I$103</c:f>
              <c:numCache>
                <c:formatCode>0.00%</c:formatCode>
                <c:ptCount val="101"/>
                <c:pt idx="0">
                  <c:v>0</c:v>
                </c:pt>
                <c:pt idx="1">
                  <c:v>1.9514193433847193E-3</c:v>
                </c:pt>
                <c:pt idx="2">
                  <c:v>3.8908833353119565E-3</c:v>
                </c:pt>
                <c:pt idx="3">
                  <c:v>5.8185448190326561E-3</c:v>
                </c:pt>
                <c:pt idx="4">
                  <c:v>7.7345605609173695E-3</c:v>
                </c:pt>
                <c:pt idx="5">
                  <c:v>9.6390904448198089E-3</c:v>
                </c:pt>
                <c:pt idx="6">
                  <c:v>1.153229675646239E-2</c:v>
                </c:pt>
                <c:pt idx="7">
                  <c:v>1.3414343548566521E-2</c:v>
                </c:pt>
                <c:pt idx="8">
                  <c:v>1.5285396078443592E-2</c:v>
                </c:pt>
                <c:pt idx="9">
                  <c:v>1.7145620310524023E-2</c:v>
                </c:pt>
                <c:pt idx="10">
                  <c:v>1.8995182477160366E-2</c:v>
                </c:pt>
                <c:pt idx="11">
                  <c:v>2.0834248691619095E-2</c:v>
                </c:pt>
                <c:pt idx="12">
                  <c:v>2.2662984607878078E-2</c:v>
                </c:pt>
                <c:pt idx="13">
                  <c:v>2.4481555122334298E-2</c:v>
                </c:pt>
                <c:pt idx="14">
                  <c:v>2.6290124113065971E-2</c:v>
                </c:pt>
                <c:pt idx="15">
                  <c:v>2.8088854212701131E-2</c:v>
                </c:pt>
                <c:pt idx="16">
                  <c:v>2.9877906611389449E-2</c:v>
                </c:pt>
                <c:pt idx="17">
                  <c:v>3.1657440886668775E-2</c:v>
                </c:pt>
                <c:pt idx="18">
                  <c:v>3.3427614857432175E-2</c:v>
                </c:pt>
                <c:pt idx="19">
                  <c:v>3.5188584459377559E-2</c:v>
                </c:pt>
                <c:pt idx="20">
                  <c:v>3.694050363970014E-2</c:v>
                </c:pt>
                <c:pt idx="21">
                  <c:v>3.86835242689203E-2</c:v>
                </c:pt>
                <c:pt idx="22">
                  <c:v>4.0417796068021428E-2</c:v>
                </c:pt>
                <c:pt idx="23">
                  <c:v>4.214346654921064E-2</c:v>
                </c:pt>
                <c:pt idx="24">
                  <c:v>4.3860680968836219E-2</c:v>
                </c:pt>
                <c:pt idx="25">
                  <c:v>4.5569582291075106E-2</c:v>
                </c:pt>
                <c:pt idx="26">
                  <c:v>4.7270311161231593E-2</c:v>
                </c:pt>
                <c:pt idx="27">
                  <c:v>4.8963005887524114E-2</c:v>
                </c:pt>
                <c:pt idx="28">
                  <c:v>5.0647802430412447E-2</c:v>
                </c:pt>
                <c:pt idx="29">
                  <c:v>5.2324834398570497E-2</c:v>
                </c:pt>
                <c:pt idx="30">
                  <c:v>5.3994233050741025E-2</c:v>
                </c:pt>
                <c:pt idx="31">
                  <c:v>5.5656127302749159E-2</c:v>
                </c:pt>
                <c:pt idx="32">
                  <c:v>5.7310643739049372E-2</c:v>
                </c:pt>
                <c:pt idx="33">
                  <c:v>5.8957906628239742E-2</c:v>
                </c:pt>
                <c:pt idx="34">
                  <c:v>6.0598037942037664E-2</c:v>
                </c:pt>
                <c:pt idx="35">
                  <c:v>6.2231157377244717E-2</c:v>
                </c:pt>
                <c:pt idx="36">
                  <c:v>6.3857382380311689E-2</c:v>
                </c:pt>
                <c:pt idx="37">
                  <c:v>6.547682817412448E-2</c:v>
                </c:pt>
                <c:pt idx="38">
                  <c:v>6.7089607786686267E-2</c:v>
                </c:pt>
                <c:pt idx="39">
                  <c:v>6.8695832081396402E-2</c:v>
                </c:pt>
                <c:pt idx="40">
                  <c:v>7.029560978868088E-2</c:v>
                </c:pt>
                <c:pt idx="41">
                  <c:v>7.188904753871217E-2</c:v>
                </c:pt>
                <c:pt idx="42">
                  <c:v>7.347624989503676E-2</c:v>
                </c:pt>
                <c:pt idx="43">
                  <c:v>7.5057319388904586E-2</c:v>
                </c:pt>
                <c:pt idx="44">
                  <c:v>7.6632356554142023E-2</c:v>
                </c:pt>
                <c:pt idx="45">
                  <c:v>7.820145996241612E-2</c:v>
                </c:pt>
                <c:pt idx="46">
                  <c:v>7.9764726258767515E-2</c:v>
                </c:pt>
                <c:pt idx="47">
                  <c:v>8.1322250197280788E-2</c:v>
                </c:pt>
                <c:pt idx="48">
                  <c:v>8.2874124676808325E-2</c:v>
                </c:pt>
                <c:pt idx="49">
                  <c:v>8.442044077663291E-2</c:v>
                </c:pt>
                <c:pt idx="50">
                  <c:v>8.596128779201706E-2</c:v>
                </c:pt>
                <c:pt idx="51">
                  <c:v>8.7496753269539207E-2</c:v>
                </c:pt>
                <c:pt idx="52">
                  <c:v>8.9026923042181183E-2</c:v>
                </c:pt>
                <c:pt idx="53">
                  <c:v>9.0551881264093526E-2</c:v>
                </c:pt>
                <c:pt idx="54">
                  <c:v>9.2071710445007726E-2</c:v>
                </c:pt>
                <c:pt idx="55">
                  <c:v>9.3586491484239476E-2</c:v>
                </c:pt>
                <c:pt idx="56">
                  <c:v>9.5096303704267582E-2</c:v>
                </c:pt>
                <c:pt idx="57">
                  <c:v>9.660122488383549E-2</c:v>
                </c:pt>
                <c:pt idx="58">
                  <c:v>9.8101331290576521E-2</c:v>
                </c:pt>
                <c:pt idx="59">
                  <c:v>9.9596697713118409E-2</c:v>
                </c:pt>
                <c:pt idx="60">
                  <c:v>0.10108739749267048</c:v>
                </c:pt>
                <c:pt idx="61">
                  <c:v>0.1025735025540615</c:v>
                </c:pt>
                <c:pt idx="62">
                  <c:v>0.1040550834362366</c:v>
                </c:pt>
                <c:pt idx="63">
                  <c:v>0.10553220932218355</c:v>
                </c:pt>
                <c:pt idx="64">
                  <c:v>0.10700494806830596</c:v>
                </c:pt>
                <c:pt idx="65">
                  <c:v>0.10847336623321624</c:v>
                </c:pt>
                <c:pt idx="66">
                  <c:v>0.10993752910597165</c:v>
                </c:pt>
                <c:pt idx="67">
                  <c:v>0.11139750073372556</c:v>
                </c:pt>
                <c:pt idx="68">
                  <c:v>0.11285334394882285</c:v>
                </c:pt>
                <c:pt idx="69">
                  <c:v>0.11430512039531737</c:v>
                </c:pt>
                <c:pt idx="70">
                  <c:v>0.11575289055493521</c:v>
                </c:pt>
                <c:pt idx="71">
                  <c:v>0.11719671377247365</c:v>
                </c:pt>
                <c:pt idx="72">
                  <c:v>0.1186366482806509</c:v>
                </c:pt>
                <c:pt idx="73">
                  <c:v>0.12007275122440619</c:v>
                </c:pt>
                <c:pt idx="74">
                  <c:v>0.12150507868466454</c:v>
                </c:pt>
                <c:pt idx="75">
                  <c:v>0.12293368570156216</c:v>
                </c:pt>
                <c:pt idx="76">
                  <c:v>0.12435862629715566</c:v>
                </c:pt>
                <c:pt idx="77">
                  <c:v>0.12577995349760607</c:v>
                </c:pt>
                <c:pt idx="78">
                  <c:v>0.12719771935486235</c:v>
                </c:pt>
                <c:pt idx="79">
                  <c:v>0.12861197496784182</c:v>
                </c:pt>
                <c:pt idx="80">
                  <c:v>0.13002277050312383</c:v>
                </c:pt>
                <c:pt idx="81">
                  <c:v>0.131430155215156</c:v>
                </c:pt>
                <c:pt idx="82">
                  <c:v>0.13283417746600001</c:v>
                </c:pt>
                <c:pt idx="83">
                  <c:v>0.13423488474460354</c:v>
                </c:pt>
                <c:pt idx="84">
                  <c:v>0.13563232368562783</c:v>
                </c:pt>
                <c:pt idx="85">
                  <c:v>0.13702654008782789</c:v>
                </c:pt>
                <c:pt idx="86">
                  <c:v>0.13841757893200168</c:v>
                </c:pt>
                <c:pt idx="87">
                  <c:v>0.13980548439851193</c:v>
                </c:pt>
                <c:pt idx="88">
                  <c:v>0.14119029988439724</c:v>
                </c:pt>
                <c:pt idx="89">
                  <c:v>0.14257206802007127</c:v>
                </c:pt>
                <c:pt idx="90">
                  <c:v>0.14395083068563297</c:v>
                </c:pt>
                <c:pt idx="91">
                  <c:v>0.14532662902678317</c:v>
                </c:pt>
                <c:pt idx="92">
                  <c:v>0.14669950347036709</c:v>
                </c:pt>
                <c:pt idx="93">
                  <c:v>0.14806949373954392</c:v>
                </c:pt>
                <c:pt idx="94">
                  <c:v>0.14943663886860015</c:v>
                </c:pt>
                <c:pt idx="95">
                  <c:v>0.15080097721740593</c:v>
                </c:pt>
                <c:pt idx="96">
                  <c:v>0.15216254648553185</c:v>
                </c:pt>
                <c:pt idx="97">
                  <c:v>0.15352138372602608</c:v>
                </c:pt>
                <c:pt idx="98">
                  <c:v>0.15487752535887167</c:v>
                </c:pt>
                <c:pt idx="99">
                  <c:v>0.15623100718411509</c:v>
                </c:pt>
                <c:pt idx="100">
                  <c:v>0.15758186439469313</c:v>
                </c:pt>
              </c:numCache>
            </c:numRef>
          </c:val>
          <c:smooth val="0"/>
        </c:ser>
        <c:ser>
          <c:idx val="3"/>
          <c:order val="3"/>
          <c:tx>
            <c:strRef>
              <c:f>t25g15n20!$J$2</c:f>
              <c:strCache>
                <c:ptCount val="1"/>
                <c:pt idx="0">
                  <c:v>t=43.4%, g=23.8%</c:v>
                </c:pt>
              </c:strCache>
            </c:strRef>
          </c:tx>
          <c:spPr>
            <a:ln w="15875"/>
          </c:spPr>
          <c:marker>
            <c:symbol val="none"/>
          </c:marker>
          <c:cat>
            <c:numRef>
              <c:f>t25g15n20!$E$3:$E$103</c:f>
              <c:numCache>
                <c:formatCode>0.0%</c:formatCode>
                <c:ptCount val="101"/>
                <c:pt idx="0">
                  <c:v>0</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9.0000000000000011E-3</c:v>
                </c:pt>
                <c:pt idx="10">
                  <c:v>1.0000000000000002E-2</c:v>
                </c:pt>
                <c:pt idx="11">
                  <c:v>1.1000000000000003E-2</c:v>
                </c:pt>
                <c:pt idx="12">
                  <c:v>1.2000000000000004E-2</c:v>
                </c:pt>
                <c:pt idx="13">
                  <c:v>1.3000000000000005E-2</c:v>
                </c:pt>
                <c:pt idx="14">
                  <c:v>1.4000000000000005E-2</c:v>
                </c:pt>
                <c:pt idx="15">
                  <c:v>1.5000000000000006E-2</c:v>
                </c:pt>
                <c:pt idx="16">
                  <c:v>1.6000000000000007E-2</c:v>
                </c:pt>
                <c:pt idx="17">
                  <c:v>1.7000000000000008E-2</c:v>
                </c:pt>
                <c:pt idx="18">
                  <c:v>1.8000000000000009E-2</c:v>
                </c:pt>
                <c:pt idx="19">
                  <c:v>1.900000000000001E-2</c:v>
                </c:pt>
                <c:pt idx="20">
                  <c:v>2.0000000000000011E-2</c:v>
                </c:pt>
                <c:pt idx="21">
                  <c:v>2.1000000000000012E-2</c:v>
                </c:pt>
                <c:pt idx="22">
                  <c:v>2.2000000000000013E-2</c:v>
                </c:pt>
                <c:pt idx="23">
                  <c:v>2.3000000000000013E-2</c:v>
                </c:pt>
                <c:pt idx="24">
                  <c:v>2.4000000000000014E-2</c:v>
                </c:pt>
                <c:pt idx="25">
                  <c:v>2.5000000000000015E-2</c:v>
                </c:pt>
                <c:pt idx="26">
                  <c:v>2.6000000000000016E-2</c:v>
                </c:pt>
                <c:pt idx="27">
                  <c:v>2.7000000000000017E-2</c:v>
                </c:pt>
                <c:pt idx="28">
                  <c:v>2.8000000000000018E-2</c:v>
                </c:pt>
                <c:pt idx="29">
                  <c:v>2.9000000000000019E-2</c:v>
                </c:pt>
                <c:pt idx="30">
                  <c:v>3.000000000000002E-2</c:v>
                </c:pt>
                <c:pt idx="31">
                  <c:v>3.1000000000000021E-2</c:v>
                </c:pt>
                <c:pt idx="32">
                  <c:v>3.2000000000000021E-2</c:v>
                </c:pt>
                <c:pt idx="33">
                  <c:v>3.3000000000000022E-2</c:v>
                </c:pt>
                <c:pt idx="34">
                  <c:v>3.4000000000000023E-2</c:v>
                </c:pt>
                <c:pt idx="35">
                  <c:v>3.5000000000000024E-2</c:v>
                </c:pt>
                <c:pt idx="36">
                  <c:v>3.6000000000000025E-2</c:v>
                </c:pt>
                <c:pt idx="37">
                  <c:v>3.7000000000000026E-2</c:v>
                </c:pt>
                <c:pt idx="38">
                  <c:v>3.8000000000000027E-2</c:v>
                </c:pt>
                <c:pt idx="39">
                  <c:v>3.9000000000000028E-2</c:v>
                </c:pt>
                <c:pt idx="40">
                  <c:v>4.0000000000000029E-2</c:v>
                </c:pt>
                <c:pt idx="41">
                  <c:v>4.1000000000000029E-2</c:v>
                </c:pt>
                <c:pt idx="42">
                  <c:v>4.200000000000003E-2</c:v>
                </c:pt>
                <c:pt idx="43">
                  <c:v>4.3000000000000031E-2</c:v>
                </c:pt>
                <c:pt idx="44">
                  <c:v>4.4000000000000032E-2</c:v>
                </c:pt>
                <c:pt idx="45">
                  <c:v>4.5000000000000033E-2</c:v>
                </c:pt>
                <c:pt idx="46">
                  <c:v>4.6000000000000034E-2</c:v>
                </c:pt>
                <c:pt idx="47">
                  <c:v>4.7000000000000035E-2</c:v>
                </c:pt>
                <c:pt idx="48">
                  <c:v>4.8000000000000036E-2</c:v>
                </c:pt>
                <c:pt idx="49">
                  <c:v>4.9000000000000037E-2</c:v>
                </c:pt>
                <c:pt idx="50">
                  <c:v>5.0000000000000037E-2</c:v>
                </c:pt>
                <c:pt idx="51">
                  <c:v>5.1000000000000038E-2</c:v>
                </c:pt>
                <c:pt idx="52">
                  <c:v>5.2000000000000039E-2</c:v>
                </c:pt>
                <c:pt idx="53">
                  <c:v>5.300000000000004E-2</c:v>
                </c:pt>
                <c:pt idx="54">
                  <c:v>5.4000000000000041E-2</c:v>
                </c:pt>
                <c:pt idx="55">
                  <c:v>5.5000000000000042E-2</c:v>
                </c:pt>
                <c:pt idx="56">
                  <c:v>5.6000000000000043E-2</c:v>
                </c:pt>
                <c:pt idx="57">
                  <c:v>5.7000000000000044E-2</c:v>
                </c:pt>
                <c:pt idx="58">
                  <c:v>5.8000000000000045E-2</c:v>
                </c:pt>
                <c:pt idx="59">
                  <c:v>5.9000000000000045E-2</c:v>
                </c:pt>
                <c:pt idx="60">
                  <c:v>6.0000000000000046E-2</c:v>
                </c:pt>
                <c:pt idx="61">
                  <c:v>6.1000000000000047E-2</c:v>
                </c:pt>
                <c:pt idx="62">
                  <c:v>6.2000000000000048E-2</c:v>
                </c:pt>
                <c:pt idx="63">
                  <c:v>6.3000000000000042E-2</c:v>
                </c:pt>
                <c:pt idx="64">
                  <c:v>6.4000000000000043E-2</c:v>
                </c:pt>
                <c:pt idx="65">
                  <c:v>6.5000000000000044E-2</c:v>
                </c:pt>
                <c:pt idx="66">
                  <c:v>6.6000000000000045E-2</c:v>
                </c:pt>
                <c:pt idx="67">
                  <c:v>6.7000000000000046E-2</c:v>
                </c:pt>
                <c:pt idx="68">
                  <c:v>6.8000000000000047E-2</c:v>
                </c:pt>
                <c:pt idx="69">
                  <c:v>6.9000000000000047E-2</c:v>
                </c:pt>
                <c:pt idx="70">
                  <c:v>7.0000000000000048E-2</c:v>
                </c:pt>
                <c:pt idx="71">
                  <c:v>7.1000000000000049E-2</c:v>
                </c:pt>
                <c:pt idx="72">
                  <c:v>7.200000000000005E-2</c:v>
                </c:pt>
                <c:pt idx="73">
                  <c:v>7.3000000000000051E-2</c:v>
                </c:pt>
                <c:pt idx="74">
                  <c:v>7.4000000000000052E-2</c:v>
                </c:pt>
                <c:pt idx="75">
                  <c:v>7.5000000000000053E-2</c:v>
                </c:pt>
                <c:pt idx="76">
                  <c:v>7.6000000000000054E-2</c:v>
                </c:pt>
                <c:pt idx="77">
                  <c:v>7.7000000000000055E-2</c:v>
                </c:pt>
                <c:pt idx="78">
                  <c:v>7.8000000000000055E-2</c:v>
                </c:pt>
                <c:pt idx="79">
                  <c:v>7.9000000000000056E-2</c:v>
                </c:pt>
                <c:pt idx="80">
                  <c:v>8.0000000000000057E-2</c:v>
                </c:pt>
                <c:pt idx="81">
                  <c:v>8.1000000000000058E-2</c:v>
                </c:pt>
                <c:pt idx="82">
                  <c:v>8.2000000000000059E-2</c:v>
                </c:pt>
                <c:pt idx="83">
                  <c:v>8.300000000000006E-2</c:v>
                </c:pt>
                <c:pt idx="84">
                  <c:v>8.4000000000000061E-2</c:v>
                </c:pt>
                <c:pt idx="85">
                  <c:v>8.5000000000000062E-2</c:v>
                </c:pt>
                <c:pt idx="86">
                  <c:v>8.6000000000000063E-2</c:v>
                </c:pt>
                <c:pt idx="87">
                  <c:v>8.7000000000000063E-2</c:v>
                </c:pt>
                <c:pt idx="88">
                  <c:v>8.8000000000000064E-2</c:v>
                </c:pt>
                <c:pt idx="89">
                  <c:v>8.9000000000000065E-2</c:v>
                </c:pt>
                <c:pt idx="90">
                  <c:v>9.0000000000000066E-2</c:v>
                </c:pt>
                <c:pt idx="91">
                  <c:v>9.1000000000000067E-2</c:v>
                </c:pt>
                <c:pt idx="92">
                  <c:v>9.2000000000000068E-2</c:v>
                </c:pt>
                <c:pt idx="93">
                  <c:v>9.3000000000000069E-2</c:v>
                </c:pt>
                <c:pt idx="94">
                  <c:v>9.400000000000007E-2</c:v>
                </c:pt>
                <c:pt idx="95">
                  <c:v>9.500000000000007E-2</c:v>
                </c:pt>
                <c:pt idx="96">
                  <c:v>9.6000000000000071E-2</c:v>
                </c:pt>
                <c:pt idx="97">
                  <c:v>9.7000000000000072E-2</c:v>
                </c:pt>
                <c:pt idx="98">
                  <c:v>9.8000000000000073E-2</c:v>
                </c:pt>
                <c:pt idx="99">
                  <c:v>9.9000000000000074E-2</c:v>
                </c:pt>
                <c:pt idx="100">
                  <c:v>0.10000000000000007</c:v>
                </c:pt>
              </c:numCache>
            </c:numRef>
          </c:cat>
          <c:val>
            <c:numRef>
              <c:f>t25g15n20!$J$3:$J$103</c:f>
              <c:numCache>
                <c:formatCode>0.00%</c:formatCode>
                <c:ptCount val="101"/>
                <c:pt idx="0">
                  <c:v>0</c:v>
                </c:pt>
                <c:pt idx="1">
                  <c:v>1.8190735035252814E-3</c:v>
                </c:pt>
                <c:pt idx="2">
                  <c:v>3.6292598900966588E-3</c:v>
                </c:pt>
                <c:pt idx="3">
                  <c:v>5.430602641231852E-3</c:v>
                </c:pt>
                <c:pt idx="4">
                  <c:v>7.223153060915033E-3</c:v>
                </c:pt>
                <c:pt idx="5">
                  <c:v>9.0069694030554537E-3</c:v>
                </c:pt>
                <c:pt idx="6">
                  <c:v>1.0782116076673676E-2</c:v>
                </c:pt>
                <c:pt idx="7">
                  <c:v>1.2548662922189591E-2</c:v>
                </c:pt>
                <c:pt idx="8">
                  <c:v>1.4306684552837012E-2</c:v>
                </c:pt>
                <c:pt idx="9">
                  <c:v>1.6056259755586E-2</c:v>
                </c:pt>
                <c:pt idx="10">
                  <c:v>1.7797470946535388E-2</c:v>
                </c:pt>
                <c:pt idx="11">
                  <c:v>1.9530403676070396E-2</c:v>
                </c:pt>
                <c:pt idx="12">
                  <c:v>2.1255146179516071E-2</c:v>
                </c:pt>
                <c:pt idx="13">
                  <c:v>2.2971788969353479E-2</c:v>
                </c:pt>
                <c:pt idx="14">
                  <c:v>2.4680424465419737E-2</c:v>
                </c:pt>
                <c:pt idx="15">
                  <c:v>2.6381146659784305E-2</c:v>
                </c:pt>
                <c:pt idx="16">
                  <c:v>2.8074050813312601E-2</c:v>
                </c:pt>
                <c:pt idx="17">
                  <c:v>2.9759233181133604E-2</c:v>
                </c:pt>
                <c:pt idx="18">
                  <c:v>3.1436790764533873E-2</c:v>
                </c:pt>
                <c:pt idx="19">
                  <c:v>3.3106821086935412E-2</c:v>
                </c:pt>
                <c:pt idx="20">
                  <c:v>3.4769421991876603E-2</c:v>
                </c:pt>
                <c:pt idx="21">
                  <c:v>3.6424691461063308E-2</c:v>
                </c:pt>
                <c:pt idx="22">
                  <c:v>3.8072727450734645E-2</c:v>
                </c:pt>
                <c:pt idx="23">
                  <c:v>3.9713627744720981E-2</c:v>
                </c:pt>
                <c:pt idx="24">
                  <c:v>4.134748982275549E-2</c:v>
                </c:pt>
                <c:pt idx="25">
                  <c:v>4.2974410742657732E-2</c:v>
                </c:pt>
                <c:pt idx="26">
                  <c:v>4.4594487035193753E-2</c:v>
                </c:pt>
                <c:pt idx="27">
                  <c:v>4.6207814610469411E-2</c:v>
                </c:pt>
                <c:pt idx="28">
                  <c:v>4.7814488674849498E-2</c:v>
                </c:pt>
                <c:pt idx="29">
                  <c:v>4.9414603657445877E-2</c:v>
                </c:pt>
                <c:pt idx="30">
                  <c:v>5.1008253145338855E-2</c:v>
                </c:pt>
                <c:pt idx="31">
                  <c:v>5.2595529826733767E-2</c:v>
                </c:pt>
                <c:pt idx="32">
                  <c:v>5.4176525441345547E-2</c:v>
                </c:pt>
                <c:pt idx="33">
                  <c:v>5.57513307373525E-2</c:v>
                </c:pt>
                <c:pt idx="34">
                  <c:v>5.7320035434331507E-2</c:v>
                </c:pt>
                <c:pt idx="35">
                  <c:v>5.8882728191611555E-2</c:v>
                </c:pt>
                <c:pt idx="36">
                  <c:v>6.0439496581567997E-2</c:v>
                </c:pt>
                <c:pt idx="37">
                  <c:v>6.1990427067378562E-2</c:v>
                </c:pt>
                <c:pt idx="38">
                  <c:v>6.3535604984846783E-2</c:v>
                </c:pt>
                <c:pt idx="39">
                  <c:v>6.5075114527891165E-2</c:v>
                </c:pt>
                <c:pt idx="40">
                  <c:v>6.6609038737369675E-2</c:v>
                </c:pt>
                <c:pt idx="41">
                  <c:v>6.8137459492902508E-2</c:v>
                </c:pt>
                <c:pt idx="42">
                  <c:v>6.9660457507425777E-2</c:v>
                </c:pt>
                <c:pt idx="43">
                  <c:v>7.1178112324184584E-2</c:v>
                </c:pt>
                <c:pt idx="44">
                  <c:v>7.269050231594254E-2</c:v>
                </c:pt>
                <c:pt idx="45">
                  <c:v>7.4197704686175481E-2</c:v>
                </c:pt>
                <c:pt idx="46">
                  <c:v>7.5699795472052855E-2</c:v>
                </c:pt>
                <c:pt idx="47">
                  <c:v>7.7196849549010071E-2</c:v>
                </c:pt>
                <c:pt idx="48">
                  <c:v>7.8688940636764793E-2</c:v>
                </c:pt>
                <c:pt idx="49">
                  <c:v>8.0176141306593562E-2</c:v>
                </c:pt>
                <c:pt idx="50">
                  <c:v>8.1658522989755511E-2</c:v>
                </c:pt>
                <c:pt idx="51">
                  <c:v>8.3136155986916371E-2</c:v>
                </c:pt>
                <c:pt idx="52">
                  <c:v>8.4609109478462452E-2</c:v>
                </c:pt>
                <c:pt idx="53">
                  <c:v>8.6077451535597094E-2</c:v>
                </c:pt>
                <c:pt idx="54">
                  <c:v>8.75412491321228E-2</c:v>
                </c:pt>
                <c:pt idx="55">
                  <c:v>8.9000568156816895E-2</c:v>
                </c:pt>
                <c:pt idx="56">
                  <c:v>9.0455473426324984E-2</c:v>
                </c:pt>
                <c:pt idx="57">
                  <c:v>9.1906028698490516E-2</c:v>
                </c:pt>
                <c:pt idx="58">
                  <c:v>9.3352296686066705E-2</c:v>
                </c:pt>
                <c:pt idx="59">
                  <c:v>9.4794339070733535E-2</c:v>
                </c:pt>
                <c:pt idx="60">
                  <c:v>9.623221651737679E-2</c:v>
                </c:pt>
                <c:pt idx="61">
                  <c:v>9.7665988688575123E-2</c:v>
                </c:pt>
                <c:pt idx="62">
                  <c:v>9.9095714259250345E-2</c:v>
                </c:pt>
                <c:pt idx="63">
                  <c:v>0.1005214509314325</c:v>
                </c:pt>
                <c:pt idx="64">
                  <c:v>0.10194325544911864</c:v>
                </c:pt>
                <c:pt idx="65">
                  <c:v>0.10336118361317093</c:v>
                </c:pt>
                <c:pt idx="66">
                  <c:v>0.10477529029624577</c:v>
                </c:pt>
                <c:pt idx="67">
                  <c:v>0.10618562945770194</c:v>
                </c:pt>
                <c:pt idx="68">
                  <c:v>0.10759225415848972</c:v>
                </c:pt>
                <c:pt idx="69">
                  <c:v>0.10899521657597355</c:v>
                </c:pt>
                <c:pt idx="70">
                  <c:v>0.11039456801869019</c:v>
                </c:pt>
                <c:pt idx="71">
                  <c:v>0.11179035894100475</c:v>
                </c:pt>
                <c:pt idx="72">
                  <c:v>0.11318263895766911</c:v>
                </c:pt>
                <c:pt idx="73">
                  <c:v>0.11457145685824832</c:v>
                </c:pt>
                <c:pt idx="74">
                  <c:v>0.11595686062142185</c:v>
                </c:pt>
                <c:pt idx="75">
                  <c:v>0.11733889742912984</c:v>
                </c:pt>
                <c:pt idx="76">
                  <c:v>0.11871761368057432</c:v>
                </c:pt>
                <c:pt idx="77">
                  <c:v>0.12009305500604772</c:v>
                </c:pt>
                <c:pt idx="78">
                  <c:v>0.12146526628059773</c:v>
                </c:pt>
                <c:pt idx="79">
                  <c:v>0.12283429163751203</c:v>
                </c:pt>
                <c:pt idx="80">
                  <c:v>0.12420017448162168</c:v>
                </c:pt>
                <c:pt idx="81">
                  <c:v>0.12556295750241575</c:v>
                </c:pt>
                <c:pt idx="82">
                  <c:v>0.12692268268697093</c:v>
                </c:pt>
                <c:pt idx="83">
                  <c:v>0.12827939133268207</c:v>
                </c:pt>
                <c:pt idx="84">
                  <c:v>0.1296331240598001</c:v>
                </c:pt>
                <c:pt idx="85">
                  <c:v>0.13098392082377264</c:v>
                </c:pt>
                <c:pt idx="86">
                  <c:v>0.13233182092738538</c:v>
                </c:pt>
                <c:pt idx="87">
                  <c:v>0.13367686303270276</c:v>
                </c:pt>
                <c:pt idx="88">
                  <c:v>0.13501908517281302</c:v>
                </c:pt>
                <c:pt idx="89">
                  <c:v>0.13635852476336785</c:v>
                </c:pt>
                <c:pt idx="90">
                  <c:v>0.13769521861392842</c:v>
                </c:pt>
                <c:pt idx="91">
                  <c:v>0.13902920293910803</c:v>
                </c:pt>
                <c:pt idx="92">
                  <c:v>0.14036051336952116</c:v>
                </c:pt>
                <c:pt idx="93">
                  <c:v>0.14168918496253302</c:v>
                </c:pt>
                <c:pt idx="94">
                  <c:v>0.14301525221281697</c:v>
                </c:pt>
                <c:pt idx="95">
                  <c:v>0.14433874906271549</c:v>
                </c:pt>
                <c:pt idx="96">
                  <c:v>0.14565970891241431</c:v>
                </c:pt>
                <c:pt idx="97">
                  <c:v>0.14697816462992042</c:v>
                </c:pt>
                <c:pt idx="98">
                  <c:v>0.14829414856086243</c:v>
                </c:pt>
                <c:pt idx="99">
                  <c:v>0.14960769253809514</c:v>
                </c:pt>
                <c:pt idx="100">
                  <c:v>0.15091882789113065</c:v>
                </c:pt>
              </c:numCache>
            </c:numRef>
          </c:val>
          <c:smooth val="0"/>
        </c:ser>
        <c:dLbls>
          <c:showLegendKey val="0"/>
          <c:showVal val="0"/>
          <c:showCatName val="0"/>
          <c:showSerName val="0"/>
          <c:showPercent val="0"/>
          <c:showBubbleSize val="0"/>
        </c:dLbls>
        <c:marker val="1"/>
        <c:smooth val="0"/>
        <c:axId val="173702144"/>
        <c:axId val="183811072"/>
      </c:lineChart>
      <c:catAx>
        <c:axId val="173702144"/>
        <c:scaling>
          <c:orientation val="minMax"/>
        </c:scaling>
        <c:delete val="0"/>
        <c:axPos val="b"/>
        <c:title>
          <c:tx>
            <c:rich>
              <a:bodyPr/>
              <a:lstStyle/>
              <a:p>
                <a:pPr>
                  <a:defRPr/>
                </a:pPr>
                <a:r>
                  <a:rPr lang="en-US"/>
                  <a:t>R</a:t>
                </a:r>
                <a:r>
                  <a:rPr lang="en-US" baseline="-25000"/>
                  <a:t>Bonds</a:t>
                </a:r>
                <a:endParaRPr lang="en-US"/>
              </a:p>
            </c:rich>
          </c:tx>
          <c:overlay val="0"/>
        </c:title>
        <c:numFmt formatCode="0.0%" sourceLinked="1"/>
        <c:majorTickMark val="out"/>
        <c:minorTickMark val="none"/>
        <c:tickLblPos val="nextTo"/>
        <c:spPr>
          <a:ln>
            <a:prstDash val="sysDot"/>
          </a:ln>
        </c:spPr>
        <c:crossAx val="183811072"/>
        <c:crosses val="autoZero"/>
        <c:auto val="1"/>
        <c:lblAlgn val="ctr"/>
        <c:lblOffset val="100"/>
        <c:noMultiLvlLbl val="0"/>
      </c:catAx>
      <c:valAx>
        <c:axId val="183811072"/>
        <c:scaling>
          <c:orientation val="minMax"/>
        </c:scaling>
        <c:delete val="0"/>
        <c:axPos val="l"/>
        <c:majorGridlines/>
        <c:title>
          <c:tx>
            <c:rich>
              <a:bodyPr rot="0" vert="horz"/>
              <a:lstStyle/>
              <a:p>
                <a:pPr>
                  <a:defRPr/>
                </a:pPr>
                <a:r>
                  <a:rPr lang="en-US"/>
                  <a:t>R</a:t>
                </a:r>
                <a:r>
                  <a:rPr lang="en-US" baseline="-25000"/>
                  <a:t>Stocks</a:t>
                </a:r>
                <a:endParaRPr lang="en-US"/>
              </a:p>
            </c:rich>
          </c:tx>
          <c:overlay val="0"/>
        </c:title>
        <c:numFmt formatCode="0%" sourceLinked="0"/>
        <c:majorTickMark val="out"/>
        <c:minorTickMark val="none"/>
        <c:tickLblPos val="nextTo"/>
        <c:crossAx val="173702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2B9C-93F1-4DC7-91D9-F3FB2B5A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5861</Words>
  <Characters>33409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Geisler, Greg</dc:creator>
  <cp:lastModifiedBy>Geisler, Greg</cp:lastModifiedBy>
  <cp:revision>4</cp:revision>
  <cp:lastPrinted>2017-04-13T14:44:00Z</cp:lastPrinted>
  <dcterms:created xsi:type="dcterms:W3CDTF">2017-06-08T17:15:00Z</dcterms:created>
  <dcterms:modified xsi:type="dcterms:W3CDTF">2017-06-08T17:27:00Z</dcterms:modified>
</cp:coreProperties>
</file>